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FAF1EE">
      <w:pPr>
        <w:pStyle w:val="2"/>
        <w:rPr>
          <w:highlight w:val="none"/>
        </w:rPr>
      </w:pPr>
      <w:r>
        <w:rPr>
          <w:rFonts w:hint="eastAsia"/>
          <w:highlight w:val="none"/>
          <w:lang w:eastAsia="zh-CN"/>
        </w:rPr>
        <w:t>襄阳市第三十六中学数字化校园</w:t>
      </w:r>
      <w:r>
        <w:rPr>
          <w:rFonts w:hint="eastAsia"/>
          <w:highlight w:val="none"/>
          <w:lang w:val="en-US" w:eastAsia="zh-CN"/>
        </w:rPr>
        <w:t>信息</w:t>
      </w:r>
      <w:r>
        <w:rPr>
          <w:rFonts w:hint="eastAsia"/>
          <w:highlight w:val="none"/>
          <w:lang w:eastAsia="zh-CN"/>
        </w:rPr>
        <w:t>系统运维管理服务</w:t>
      </w:r>
      <w:r>
        <w:rPr>
          <w:rFonts w:hint="eastAsia"/>
          <w:highlight w:val="none"/>
          <w:lang w:val="en-US" w:eastAsia="zh-CN"/>
        </w:rPr>
        <w:t>采购</w:t>
      </w:r>
      <w:r>
        <w:rPr>
          <w:rFonts w:hint="eastAsia"/>
          <w:highlight w:val="none"/>
          <w:lang w:eastAsia="zh-CN"/>
        </w:rPr>
        <w:t>竞争性谈判</w:t>
      </w:r>
    </w:p>
    <w:p w14:paraId="28E7A296">
      <w:pPr>
        <w:rPr>
          <w:highlight w:val="none"/>
        </w:rPr>
      </w:pPr>
    </w:p>
    <w:p w14:paraId="1157736A">
      <w:pPr>
        <w:widowControl/>
        <w:shd w:val="clear" w:color="auto" w:fill="FFFFFF"/>
        <w:spacing w:line="240" w:lineRule="atLeast"/>
        <w:ind w:firstLine="420" w:firstLineChars="200"/>
        <w:rPr>
          <w:rFonts w:ascii="微软雅黑" w:hAnsi="微软雅黑" w:eastAsia="微软雅黑" w:cs="宋体"/>
          <w:color w:val="333333"/>
          <w:kern w:val="0"/>
          <w:szCs w:val="21"/>
          <w:highlight w:val="none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  <w:highlight w:val="none"/>
        </w:rPr>
        <w:t>襄阳市第三十六中学因学校日常运维需要，现招标采购专业的信息化运维技术支持服务。采购人为襄阳市第三十六中学，项目资金为</w:t>
      </w:r>
      <w:r>
        <w:rPr>
          <w:rFonts w:hint="eastAsia" w:ascii="微软雅黑" w:hAnsi="微软雅黑" w:eastAsia="微软雅黑" w:cs="宋体"/>
          <w:color w:val="333333"/>
          <w:kern w:val="0"/>
          <w:szCs w:val="21"/>
          <w:highlight w:val="none"/>
        </w:rPr>
        <w:t>财政资金（襄采计备[2025]02659</w:t>
      </w:r>
      <w:bookmarkStart w:id="3" w:name="_GoBack"/>
      <w:bookmarkEnd w:id="3"/>
      <w:r>
        <w:rPr>
          <w:rFonts w:hint="eastAsia" w:ascii="微软雅黑" w:hAnsi="微软雅黑" w:eastAsia="微软雅黑" w:cs="宋体"/>
          <w:color w:val="333333"/>
          <w:kern w:val="0"/>
          <w:szCs w:val="21"/>
          <w:highlight w:val="none"/>
        </w:rPr>
        <w:t>号</w:t>
      </w:r>
      <w:r>
        <w:rPr>
          <w:rFonts w:hint="eastAsia" w:ascii="微软雅黑" w:hAnsi="微软雅黑" w:eastAsia="微软雅黑" w:cs="宋体"/>
          <w:color w:val="333333"/>
          <w:kern w:val="0"/>
          <w:szCs w:val="21"/>
          <w:highlight w:val="none"/>
        </w:rPr>
        <w:t>），项目已具备招标条件，邀请符合资格条件的供应商投标。</w:t>
      </w:r>
    </w:p>
    <w:p w14:paraId="32597FCD">
      <w:pPr>
        <w:widowControl/>
        <w:shd w:val="clear" w:color="auto" w:fill="FFFFFF"/>
        <w:ind w:firstLine="165"/>
        <w:rPr>
          <w:rFonts w:ascii="微软雅黑" w:hAnsi="微软雅黑" w:eastAsia="微软雅黑" w:cs="宋体"/>
          <w:color w:val="333333"/>
          <w:kern w:val="0"/>
          <w:szCs w:val="21"/>
          <w:highlight w:val="none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  <w:highlight w:val="none"/>
        </w:rPr>
        <w:t>一、项目采购方式：</w:t>
      </w:r>
    </w:p>
    <w:p w14:paraId="392FC983">
      <w:pPr>
        <w:widowControl/>
        <w:shd w:val="clear" w:color="auto" w:fill="FFFFFF"/>
        <w:ind w:firstLine="165"/>
        <w:rPr>
          <w:rFonts w:ascii="微软雅黑" w:hAnsi="微软雅黑" w:eastAsia="微软雅黑" w:cs="宋体"/>
          <w:color w:val="333333"/>
          <w:kern w:val="0"/>
          <w:szCs w:val="21"/>
          <w:highlight w:val="none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  <w:highlight w:val="none"/>
        </w:rPr>
        <w:t>进行竞争性谈判采购</w:t>
      </w:r>
    </w:p>
    <w:p w14:paraId="4FD74DBD">
      <w:pPr>
        <w:widowControl/>
        <w:shd w:val="clear" w:color="auto" w:fill="FFFFFF"/>
        <w:ind w:firstLine="165"/>
        <w:rPr>
          <w:rFonts w:ascii="微软雅黑" w:hAnsi="微软雅黑" w:eastAsia="微软雅黑" w:cs="宋体"/>
          <w:color w:val="333333"/>
          <w:kern w:val="0"/>
          <w:szCs w:val="21"/>
          <w:highlight w:val="none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  <w:highlight w:val="none"/>
        </w:rPr>
        <w:t>二、项目名称</w:t>
      </w:r>
    </w:p>
    <w:p w14:paraId="15D6DF8D">
      <w:pPr>
        <w:widowControl/>
        <w:shd w:val="clear" w:color="auto" w:fill="FFFFFF"/>
        <w:ind w:firstLine="165"/>
        <w:rPr>
          <w:rFonts w:hint="eastAsia" w:ascii="微软雅黑" w:hAnsi="微软雅黑" w:eastAsia="微软雅黑" w:cs="宋体"/>
          <w:color w:val="333333"/>
          <w:kern w:val="0"/>
          <w:szCs w:val="21"/>
          <w:highlight w:val="none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  <w:highlight w:val="none"/>
        </w:rPr>
        <w:t>襄阳市第三十六中学</w:t>
      </w:r>
      <w:r>
        <w:rPr>
          <w:rFonts w:hint="eastAsia" w:ascii="微软雅黑" w:hAnsi="微软雅黑" w:eastAsia="微软雅黑" w:cs="宋体"/>
          <w:color w:val="333333"/>
          <w:kern w:val="0"/>
          <w:szCs w:val="21"/>
          <w:highlight w:val="none"/>
          <w:lang w:eastAsia="zh-CN"/>
        </w:rPr>
        <w:t>数字化校园</w:t>
      </w:r>
      <w:r>
        <w:rPr>
          <w:rFonts w:hint="eastAsia" w:ascii="微软雅黑" w:hAnsi="微软雅黑" w:eastAsia="微软雅黑" w:cs="宋体"/>
          <w:color w:val="333333"/>
          <w:kern w:val="0"/>
          <w:szCs w:val="21"/>
          <w:highlight w:val="none"/>
          <w:lang w:val="en-US" w:eastAsia="zh-CN"/>
        </w:rPr>
        <w:t>信息</w:t>
      </w:r>
      <w:r>
        <w:rPr>
          <w:rFonts w:hint="eastAsia" w:ascii="微软雅黑" w:hAnsi="微软雅黑" w:eastAsia="微软雅黑" w:cs="宋体"/>
          <w:color w:val="333333"/>
          <w:kern w:val="0"/>
          <w:szCs w:val="21"/>
          <w:highlight w:val="none"/>
          <w:lang w:eastAsia="zh-CN"/>
        </w:rPr>
        <w:t>系统运维管理服务</w:t>
      </w:r>
      <w:r>
        <w:rPr>
          <w:rFonts w:hint="eastAsia" w:ascii="微软雅黑" w:hAnsi="微软雅黑" w:eastAsia="微软雅黑" w:cs="宋体"/>
          <w:color w:val="333333"/>
          <w:kern w:val="0"/>
          <w:szCs w:val="21"/>
          <w:highlight w:val="none"/>
        </w:rPr>
        <w:t>采购</w:t>
      </w:r>
    </w:p>
    <w:p w14:paraId="4937CA83">
      <w:pPr>
        <w:widowControl/>
        <w:shd w:val="clear" w:color="auto" w:fill="FFFFFF"/>
        <w:ind w:firstLine="165"/>
        <w:rPr>
          <w:rFonts w:ascii="微软雅黑" w:hAnsi="微软雅黑" w:eastAsia="微软雅黑" w:cs="宋体"/>
          <w:color w:val="333333"/>
          <w:kern w:val="0"/>
          <w:szCs w:val="21"/>
          <w:highlight w:val="none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  <w:highlight w:val="none"/>
        </w:rPr>
        <w:t>三、本次招标工程项目的概况如下：</w:t>
      </w:r>
    </w:p>
    <w:p w14:paraId="0E4C7EA7">
      <w:pPr>
        <w:widowControl/>
        <w:shd w:val="clear" w:color="auto" w:fill="FFFFFF"/>
        <w:ind w:firstLine="165"/>
        <w:rPr>
          <w:rFonts w:ascii="微软雅黑" w:hAnsi="微软雅黑" w:eastAsia="微软雅黑" w:cs="宋体"/>
          <w:color w:val="333333"/>
          <w:kern w:val="0"/>
          <w:szCs w:val="21"/>
          <w:highlight w:val="none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  <w:highlight w:val="none"/>
        </w:rPr>
        <w:t>项目总投资约为</w:t>
      </w:r>
      <w:r>
        <w:rPr>
          <w:rFonts w:hint="eastAsia" w:ascii="微软雅黑" w:hAnsi="微软雅黑" w:eastAsia="微软雅黑" w:cs="宋体"/>
          <w:color w:val="333333"/>
          <w:kern w:val="0"/>
          <w:szCs w:val="21"/>
          <w:highlight w:val="none"/>
          <w:lang w:val="en-US" w:eastAsia="zh-CN"/>
        </w:rPr>
        <w:t>9.5万</w:t>
      </w:r>
      <w:r>
        <w:rPr>
          <w:rFonts w:hint="eastAsia" w:ascii="微软雅黑" w:hAnsi="微软雅黑" w:eastAsia="微软雅黑" w:cs="宋体"/>
          <w:color w:val="333333"/>
          <w:kern w:val="0"/>
          <w:szCs w:val="21"/>
          <w:highlight w:val="none"/>
        </w:rPr>
        <w:t>元</w:t>
      </w:r>
      <w:r>
        <w:rPr>
          <w:rFonts w:hint="eastAsia" w:ascii="微软雅黑" w:hAnsi="微软雅黑" w:eastAsia="微软雅黑" w:cs="宋体"/>
          <w:color w:val="333333"/>
          <w:kern w:val="0"/>
          <w:szCs w:val="21"/>
          <w:highlight w:val="none"/>
        </w:rPr>
        <w:t>，供应商响应报价不得超出预算金额，否则按无效响应处理。</w:t>
      </w:r>
    </w:p>
    <w:p w14:paraId="4E129A72">
      <w:pPr>
        <w:widowControl/>
        <w:shd w:val="clear" w:color="auto" w:fill="FFFFFF"/>
        <w:ind w:firstLine="165"/>
        <w:rPr>
          <w:rFonts w:ascii="微软雅黑" w:hAnsi="微软雅黑" w:eastAsia="微软雅黑" w:cs="宋体"/>
          <w:color w:val="333333"/>
          <w:kern w:val="0"/>
          <w:szCs w:val="21"/>
          <w:highlight w:val="none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  <w:highlight w:val="none"/>
        </w:rPr>
        <w:t>服务周期：</w:t>
      </w:r>
      <w:r>
        <w:rPr>
          <w:rFonts w:hint="eastAsia" w:ascii="微软雅黑" w:hAnsi="微软雅黑" w:eastAsia="微软雅黑" w:cs="宋体"/>
          <w:color w:val="333333"/>
          <w:kern w:val="0"/>
          <w:szCs w:val="21"/>
          <w:highlight w:val="none"/>
          <w:lang w:val="en-US" w:eastAsia="zh-CN"/>
        </w:rPr>
        <w:t>1</w:t>
      </w:r>
      <w:r>
        <w:rPr>
          <w:rFonts w:hint="eastAsia" w:ascii="微软雅黑" w:hAnsi="微软雅黑" w:eastAsia="微软雅黑" w:cs="宋体"/>
          <w:color w:val="333333"/>
          <w:kern w:val="0"/>
          <w:szCs w:val="21"/>
          <w:highlight w:val="none"/>
        </w:rPr>
        <w:t>年</w:t>
      </w:r>
      <w:r>
        <w:rPr>
          <w:rFonts w:hint="eastAsia" w:ascii="微软雅黑" w:hAnsi="微软雅黑" w:eastAsia="微软雅黑" w:cs="宋体"/>
          <w:color w:val="333333"/>
          <w:kern w:val="0"/>
          <w:szCs w:val="21"/>
          <w:highlight w:val="none"/>
        </w:rPr>
        <w:t>。</w:t>
      </w:r>
    </w:p>
    <w:p w14:paraId="5157B55B">
      <w:pPr>
        <w:widowControl/>
        <w:shd w:val="clear" w:color="auto" w:fill="FFFFFF"/>
        <w:ind w:firstLine="165"/>
        <w:rPr>
          <w:rFonts w:ascii="微软雅黑" w:hAnsi="微软雅黑" w:eastAsia="微软雅黑" w:cs="宋体"/>
          <w:color w:val="333333"/>
          <w:kern w:val="0"/>
          <w:szCs w:val="21"/>
          <w:highlight w:val="none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  <w:highlight w:val="none"/>
        </w:rPr>
        <w:t>服务要求:</w:t>
      </w:r>
    </w:p>
    <w:p w14:paraId="06EB856E">
      <w:pPr>
        <w:widowControl/>
        <w:shd w:val="clear" w:color="auto" w:fill="FFFFFF"/>
        <w:ind w:firstLine="165"/>
        <w:rPr>
          <w:rFonts w:ascii="微软雅黑" w:hAnsi="微软雅黑" w:eastAsia="微软雅黑" w:cs="宋体"/>
          <w:color w:val="333333"/>
          <w:kern w:val="0"/>
          <w:szCs w:val="21"/>
          <w:highlight w:val="none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  <w:highlight w:val="none"/>
        </w:rPr>
        <w:t>详见附件。</w:t>
      </w:r>
    </w:p>
    <w:p w14:paraId="74B5E37A">
      <w:pPr>
        <w:widowControl/>
        <w:shd w:val="clear" w:color="auto" w:fill="FFFFFF"/>
        <w:ind w:firstLine="165"/>
        <w:rPr>
          <w:rFonts w:ascii="微软雅黑" w:hAnsi="微软雅黑" w:eastAsia="微软雅黑" w:cs="宋体"/>
          <w:color w:val="333333"/>
          <w:kern w:val="0"/>
          <w:szCs w:val="21"/>
          <w:highlight w:val="none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  <w:highlight w:val="none"/>
        </w:rPr>
        <w:t>四、供应商资格要求</w:t>
      </w:r>
    </w:p>
    <w:p w14:paraId="60C0D25E">
      <w:pPr>
        <w:widowControl/>
        <w:shd w:val="clear" w:color="auto" w:fill="FFFFFF"/>
        <w:ind w:firstLine="165"/>
        <w:rPr>
          <w:rFonts w:ascii="微软雅黑" w:hAnsi="微软雅黑" w:eastAsia="微软雅黑" w:cs="宋体"/>
          <w:color w:val="333333"/>
          <w:kern w:val="0"/>
          <w:szCs w:val="21"/>
          <w:highlight w:val="none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  <w:highlight w:val="none"/>
        </w:rPr>
        <w:t>1.投标供应商须符合《政府采购法》第二十二条规定。</w:t>
      </w:r>
    </w:p>
    <w:p w14:paraId="1BC87D68">
      <w:pPr>
        <w:widowControl/>
        <w:shd w:val="clear" w:color="auto" w:fill="FFFFFF"/>
        <w:ind w:firstLine="165"/>
        <w:rPr>
          <w:rFonts w:ascii="微软雅黑" w:hAnsi="微软雅黑" w:eastAsia="微软雅黑" w:cs="宋体"/>
          <w:color w:val="333333"/>
          <w:kern w:val="0"/>
          <w:szCs w:val="21"/>
          <w:highlight w:val="none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  <w:highlight w:val="none"/>
        </w:rPr>
        <w:t>2.供应商具有良好的商业信誉和健全的财务会计制度，在经营活动中没有重大的违法记录，具有履行合同所必须的设备和专业技术能力和信用中国证明。</w:t>
      </w:r>
    </w:p>
    <w:p w14:paraId="06ADFF30">
      <w:pPr>
        <w:widowControl/>
        <w:shd w:val="clear" w:color="auto" w:fill="FFFFFF"/>
        <w:ind w:firstLine="165"/>
        <w:rPr>
          <w:rFonts w:ascii="微软雅黑" w:hAnsi="微软雅黑" w:eastAsia="微软雅黑" w:cs="宋体"/>
          <w:color w:val="333333"/>
          <w:kern w:val="0"/>
          <w:szCs w:val="21"/>
          <w:highlight w:val="none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  <w:highlight w:val="none"/>
        </w:rPr>
        <w:t>3. 供应商具有依法缴纳税收和社会保障资金的良好记录。</w:t>
      </w:r>
    </w:p>
    <w:p w14:paraId="6A881FF9">
      <w:pPr>
        <w:widowControl/>
        <w:shd w:val="clear" w:color="auto" w:fill="FFFFFF"/>
        <w:ind w:firstLine="165"/>
        <w:rPr>
          <w:rFonts w:ascii="微软雅黑" w:hAnsi="微软雅黑" w:eastAsia="微软雅黑" w:cs="宋体"/>
          <w:color w:val="333333"/>
          <w:kern w:val="0"/>
          <w:szCs w:val="21"/>
          <w:highlight w:val="none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  <w:highlight w:val="none"/>
        </w:rPr>
        <w:t>4.供应商须通过I</w:t>
      </w:r>
      <w:r>
        <w:rPr>
          <w:rFonts w:ascii="微软雅黑" w:hAnsi="微软雅黑" w:eastAsia="微软雅黑" w:cs="宋体"/>
          <w:color w:val="333333"/>
          <w:kern w:val="0"/>
          <w:szCs w:val="21"/>
          <w:highlight w:val="none"/>
        </w:rPr>
        <w:t xml:space="preserve">TSS </w:t>
      </w:r>
      <w:r>
        <w:rPr>
          <w:rFonts w:hint="eastAsia" w:ascii="微软雅黑" w:hAnsi="微软雅黑" w:eastAsia="微软雅黑" w:cs="宋体"/>
          <w:color w:val="333333"/>
          <w:kern w:val="0"/>
          <w:szCs w:val="21"/>
          <w:highlight w:val="none"/>
        </w:rPr>
        <w:t>信息技术服务标准</w:t>
      </w:r>
      <w:r>
        <w:rPr>
          <w:rFonts w:hint="eastAsia" w:ascii="微软雅黑" w:hAnsi="微软雅黑" w:eastAsia="微软雅黑" w:cs="宋体"/>
          <w:color w:val="333333"/>
          <w:kern w:val="0"/>
          <w:szCs w:val="21"/>
          <w:highlight w:val="none"/>
          <w:lang w:val="en-US" w:eastAsia="zh-CN"/>
        </w:rPr>
        <w:t>等级三</w:t>
      </w:r>
      <w:r>
        <w:rPr>
          <w:rFonts w:hint="eastAsia" w:ascii="微软雅黑" w:hAnsi="微软雅黑" w:eastAsia="微软雅黑" w:cs="宋体"/>
          <w:color w:val="333333"/>
          <w:kern w:val="0"/>
          <w:szCs w:val="21"/>
          <w:highlight w:val="none"/>
        </w:rPr>
        <w:t>级及以上</w:t>
      </w:r>
      <w:r>
        <w:rPr>
          <w:rFonts w:hint="eastAsia" w:ascii="微软雅黑" w:hAnsi="微软雅黑" w:eastAsia="微软雅黑" w:cs="宋体"/>
          <w:color w:val="333333"/>
          <w:kern w:val="0"/>
          <w:szCs w:val="21"/>
          <w:highlight w:val="none"/>
          <w:lang w:val="en-US" w:eastAsia="zh-CN"/>
        </w:rPr>
        <w:t>认证</w:t>
      </w:r>
      <w:r>
        <w:rPr>
          <w:rFonts w:hint="eastAsia" w:ascii="微软雅黑" w:hAnsi="微软雅黑" w:eastAsia="微软雅黑" w:cs="宋体"/>
          <w:color w:val="333333"/>
          <w:kern w:val="0"/>
          <w:szCs w:val="21"/>
          <w:highlight w:val="none"/>
        </w:rPr>
        <w:t>；</w:t>
      </w:r>
    </w:p>
    <w:p w14:paraId="73A31E38">
      <w:pPr>
        <w:widowControl/>
        <w:shd w:val="clear" w:color="auto" w:fill="FFFFFF"/>
        <w:ind w:firstLine="165"/>
        <w:rPr>
          <w:rFonts w:ascii="微软雅黑" w:hAnsi="微软雅黑" w:eastAsia="微软雅黑" w:cs="宋体"/>
          <w:color w:val="333333"/>
          <w:kern w:val="0"/>
          <w:szCs w:val="21"/>
          <w:highlight w:val="none"/>
        </w:rPr>
      </w:pPr>
      <w:r>
        <w:rPr>
          <w:rFonts w:ascii="微软雅黑" w:hAnsi="微软雅黑" w:eastAsia="微软雅黑" w:cs="宋体"/>
          <w:color w:val="333333"/>
          <w:kern w:val="0"/>
          <w:szCs w:val="21"/>
          <w:highlight w:val="none"/>
        </w:rPr>
        <w:t>5</w:t>
      </w:r>
      <w:r>
        <w:rPr>
          <w:rFonts w:hint="eastAsia" w:ascii="微软雅黑" w:hAnsi="微软雅黑" w:eastAsia="微软雅黑" w:cs="宋体"/>
          <w:color w:val="333333"/>
          <w:kern w:val="0"/>
          <w:szCs w:val="21"/>
          <w:highlight w:val="none"/>
        </w:rPr>
        <w:t>.本项目不接受联合体投标。</w:t>
      </w:r>
    </w:p>
    <w:p w14:paraId="4A6E0C1D">
      <w:pPr>
        <w:widowControl/>
        <w:shd w:val="clear" w:color="auto" w:fill="FFFFFF"/>
        <w:ind w:firstLine="165"/>
        <w:rPr>
          <w:rFonts w:ascii="微软雅黑" w:hAnsi="微软雅黑" w:eastAsia="微软雅黑" w:cs="宋体"/>
          <w:color w:val="333333"/>
          <w:kern w:val="0"/>
          <w:szCs w:val="21"/>
          <w:highlight w:val="none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  <w:highlight w:val="none"/>
        </w:rPr>
        <w:t>报名时（1）（2）（3）（4）提交上述资料的1份复印件，并加盖公章，否则视为无效报名。提交加盖公章的投标人身份证复印件和法定代表人授权委托书。</w:t>
      </w:r>
    </w:p>
    <w:p w14:paraId="7210D086">
      <w:pPr>
        <w:widowControl/>
        <w:shd w:val="clear" w:color="auto" w:fill="FFFFFF"/>
        <w:ind w:firstLine="165"/>
        <w:rPr>
          <w:rFonts w:ascii="微软雅黑" w:hAnsi="微软雅黑" w:eastAsia="微软雅黑" w:cs="宋体"/>
          <w:color w:val="333333"/>
          <w:kern w:val="0"/>
          <w:szCs w:val="21"/>
          <w:highlight w:val="none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  <w:highlight w:val="none"/>
        </w:rPr>
        <w:t>五、采购需求及文件的获取</w:t>
      </w:r>
    </w:p>
    <w:p w14:paraId="326A648B">
      <w:pPr>
        <w:widowControl/>
        <w:shd w:val="clear" w:color="auto" w:fill="FFFFFF"/>
        <w:ind w:firstLine="165"/>
        <w:rPr>
          <w:rFonts w:hint="eastAsia" w:ascii="微软雅黑" w:hAnsi="微软雅黑" w:eastAsia="微软雅黑" w:cs="宋体"/>
          <w:color w:val="333333"/>
          <w:kern w:val="0"/>
          <w:szCs w:val="21"/>
          <w:highlight w:val="none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  <w:highlight w:val="none"/>
        </w:rPr>
        <w:t>1.凡有意参加投标者，符合本公告 “供应商资格要求”中要求的资料，以上资料留存加盖单位公章的复印件。采购需求见附件。</w:t>
      </w:r>
    </w:p>
    <w:p w14:paraId="2E3E7F44">
      <w:pPr>
        <w:widowControl/>
        <w:shd w:val="clear" w:color="auto" w:fill="FFFFFF"/>
        <w:ind w:firstLine="165"/>
        <w:rPr>
          <w:rFonts w:hint="eastAsia" w:ascii="微软雅黑" w:hAnsi="微软雅黑" w:eastAsia="微软雅黑" w:cs="宋体"/>
          <w:color w:val="333333"/>
          <w:kern w:val="0"/>
          <w:szCs w:val="21"/>
          <w:highlight w:val="none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  <w:highlight w:val="none"/>
        </w:rPr>
        <w:t>2.竞争性谈判文件按要求自备</w:t>
      </w:r>
      <w:r>
        <w:rPr>
          <w:rFonts w:hint="eastAsia" w:ascii="微软雅黑" w:hAnsi="微软雅黑" w:eastAsia="微软雅黑" w:cs="宋体"/>
          <w:color w:val="333333"/>
          <w:kern w:val="0"/>
          <w:szCs w:val="21"/>
          <w:highlight w:val="none"/>
          <w:lang w:eastAsia="zh-CN"/>
        </w:rPr>
        <w:t>（</w:t>
      </w:r>
      <w:r>
        <w:rPr>
          <w:rFonts w:hint="eastAsia" w:ascii="微软雅黑" w:hAnsi="微软雅黑" w:eastAsia="微软雅黑" w:cs="宋体"/>
          <w:color w:val="333333"/>
          <w:kern w:val="0"/>
          <w:szCs w:val="21"/>
          <w:highlight w:val="none"/>
          <w:lang w:val="en-US" w:eastAsia="zh-CN"/>
        </w:rPr>
        <w:t>须有</w:t>
      </w:r>
      <w:bookmarkStart w:id="0" w:name="_Toc100591487"/>
      <w:r>
        <w:rPr>
          <w:rFonts w:hint="eastAsia" w:ascii="微软雅黑" w:hAnsi="微软雅黑" w:eastAsia="微软雅黑" w:cs="宋体"/>
          <w:color w:val="333333"/>
          <w:kern w:val="0"/>
          <w:szCs w:val="21"/>
          <w:highlight w:val="none"/>
        </w:rPr>
        <w:t>法定代表人授权委托书</w:t>
      </w:r>
      <w:bookmarkEnd w:id="0"/>
      <w:r>
        <w:rPr>
          <w:rFonts w:hint="eastAsia" w:ascii="微软雅黑" w:hAnsi="微软雅黑" w:eastAsia="微软雅黑" w:cs="宋体"/>
          <w:color w:val="333333"/>
          <w:kern w:val="0"/>
          <w:szCs w:val="21"/>
          <w:highlight w:val="none"/>
          <w:lang w:eastAsia="zh-CN"/>
        </w:rPr>
        <w:t>、</w:t>
      </w:r>
      <w:bookmarkStart w:id="1" w:name="_Toc100591488"/>
      <w:r>
        <w:rPr>
          <w:rFonts w:hint="eastAsia" w:ascii="微软雅黑" w:hAnsi="微软雅黑" w:eastAsia="微软雅黑" w:cs="宋体"/>
          <w:color w:val="333333"/>
          <w:kern w:val="0"/>
          <w:szCs w:val="21"/>
          <w:highlight w:val="none"/>
        </w:rPr>
        <w:t>法定代表人身份证明书</w:t>
      </w:r>
      <w:bookmarkEnd w:id="1"/>
      <w:r>
        <w:rPr>
          <w:rFonts w:hint="eastAsia" w:ascii="微软雅黑" w:hAnsi="微软雅黑" w:eastAsia="微软雅黑" w:cs="宋体"/>
          <w:color w:val="333333"/>
          <w:kern w:val="0"/>
          <w:szCs w:val="21"/>
          <w:highlight w:val="none"/>
          <w:lang w:eastAsia="zh-CN"/>
        </w:rPr>
        <w:t>、</w:t>
      </w:r>
      <w:r>
        <w:rPr>
          <w:rFonts w:hint="eastAsia" w:ascii="微软雅黑" w:hAnsi="微软雅黑" w:eastAsia="微软雅黑" w:cs="宋体"/>
          <w:color w:val="333333"/>
          <w:kern w:val="0"/>
          <w:szCs w:val="21"/>
          <w:highlight w:val="none"/>
          <w:lang w:val="en-US" w:eastAsia="zh-CN"/>
        </w:rPr>
        <w:t>报价表、</w:t>
      </w:r>
      <w:bookmarkStart w:id="2" w:name="_Toc100591492"/>
      <w:r>
        <w:rPr>
          <w:rFonts w:hint="eastAsia" w:ascii="微软雅黑" w:hAnsi="微软雅黑" w:eastAsia="微软雅黑" w:cs="宋体"/>
          <w:color w:val="333333"/>
          <w:kern w:val="0"/>
          <w:szCs w:val="21"/>
          <w:highlight w:val="none"/>
        </w:rPr>
        <w:t>投标人资格证明文件</w:t>
      </w:r>
      <w:bookmarkEnd w:id="2"/>
      <w:r>
        <w:rPr>
          <w:rFonts w:hint="eastAsia" w:ascii="微软雅黑" w:hAnsi="微软雅黑" w:eastAsia="微软雅黑" w:cs="宋体"/>
          <w:color w:val="333333"/>
          <w:kern w:val="0"/>
          <w:szCs w:val="21"/>
          <w:highlight w:val="none"/>
          <w:lang w:eastAsia="zh-CN"/>
        </w:rPr>
        <w:t>、</w:t>
      </w:r>
      <w:r>
        <w:rPr>
          <w:rFonts w:hint="eastAsia" w:ascii="微软雅黑" w:hAnsi="微软雅黑" w:eastAsia="微软雅黑" w:cs="宋体"/>
          <w:color w:val="333333"/>
          <w:kern w:val="0"/>
          <w:szCs w:val="21"/>
          <w:highlight w:val="none"/>
          <w:lang w:val="en-US" w:eastAsia="zh-CN"/>
        </w:rPr>
        <w:t>技术证明资料、运维管理服务方案</w:t>
      </w:r>
      <w:r>
        <w:rPr>
          <w:rFonts w:hint="eastAsia" w:ascii="微软雅黑" w:hAnsi="微软雅黑" w:eastAsia="微软雅黑" w:cs="宋体"/>
          <w:color w:val="333333"/>
          <w:kern w:val="0"/>
          <w:szCs w:val="21"/>
          <w:highlight w:val="none"/>
          <w:lang w:eastAsia="zh-CN"/>
        </w:rPr>
        <w:t>）</w:t>
      </w:r>
      <w:r>
        <w:rPr>
          <w:rFonts w:hint="eastAsia" w:ascii="微软雅黑" w:hAnsi="微软雅黑" w:eastAsia="微软雅黑" w:cs="宋体"/>
          <w:color w:val="333333"/>
          <w:kern w:val="0"/>
          <w:szCs w:val="21"/>
          <w:highlight w:val="none"/>
        </w:rPr>
        <w:t>。</w:t>
      </w:r>
    </w:p>
    <w:p w14:paraId="251F4E9A">
      <w:pPr>
        <w:widowControl/>
        <w:shd w:val="clear" w:color="auto" w:fill="FFFFFF"/>
        <w:ind w:firstLine="165"/>
        <w:rPr>
          <w:rFonts w:ascii="微软雅黑" w:hAnsi="微软雅黑" w:eastAsia="微软雅黑" w:cs="宋体"/>
          <w:color w:val="333333"/>
          <w:kern w:val="0"/>
          <w:szCs w:val="21"/>
          <w:highlight w:val="none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  <w:highlight w:val="none"/>
        </w:rPr>
        <w:t>六、招标文件的递交</w:t>
      </w:r>
    </w:p>
    <w:p w14:paraId="384EF6B7">
      <w:pPr>
        <w:widowControl/>
        <w:shd w:val="clear" w:color="auto" w:fill="FFFFFF"/>
        <w:ind w:firstLine="165"/>
        <w:rPr>
          <w:rFonts w:ascii="微软雅黑" w:hAnsi="微软雅黑" w:eastAsia="微软雅黑" w:cs="宋体"/>
          <w:color w:val="333333"/>
          <w:kern w:val="0"/>
          <w:szCs w:val="21"/>
          <w:highlight w:val="none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  <w:highlight w:val="none"/>
        </w:rPr>
        <w:t>1、投标人需要进行现场踏勘，招标单位联系人可进行现场答疑。</w:t>
      </w:r>
    </w:p>
    <w:p w14:paraId="54338DCD">
      <w:pPr>
        <w:widowControl/>
        <w:shd w:val="clear" w:color="auto" w:fill="FFFFFF"/>
        <w:ind w:firstLine="165"/>
        <w:rPr>
          <w:rFonts w:ascii="微软雅黑" w:hAnsi="微软雅黑" w:eastAsia="微软雅黑" w:cs="宋体"/>
          <w:color w:val="333333"/>
          <w:kern w:val="0"/>
          <w:szCs w:val="21"/>
          <w:highlight w:val="none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  <w:highlight w:val="none"/>
        </w:rPr>
        <w:t>2.递交招标文件截止时间为：</w:t>
      </w:r>
      <w:r>
        <w:rPr>
          <w:rFonts w:hint="eastAsia" w:ascii="微软雅黑" w:hAnsi="微软雅黑" w:eastAsia="微软雅黑" w:cs="宋体"/>
          <w:color w:val="333333"/>
          <w:kern w:val="0"/>
          <w:szCs w:val="21"/>
          <w:highlight w:val="none"/>
          <w:lang w:val="en-US" w:eastAsia="zh-CN"/>
        </w:rPr>
        <w:t>2025</w:t>
      </w:r>
      <w:r>
        <w:rPr>
          <w:rFonts w:hint="eastAsia" w:ascii="微软雅黑" w:hAnsi="微软雅黑" w:eastAsia="微软雅黑" w:cs="宋体"/>
          <w:color w:val="333333"/>
          <w:kern w:val="0"/>
          <w:szCs w:val="21"/>
          <w:highlight w:val="none"/>
        </w:rPr>
        <w:t>年</w:t>
      </w:r>
      <w:r>
        <w:rPr>
          <w:rFonts w:hint="eastAsia" w:ascii="微软雅黑" w:hAnsi="微软雅黑" w:eastAsia="微软雅黑" w:cs="宋体"/>
          <w:color w:val="333333"/>
          <w:kern w:val="0"/>
          <w:szCs w:val="21"/>
          <w:highlight w:val="none"/>
          <w:lang w:val="en-US" w:eastAsia="zh-CN"/>
        </w:rPr>
        <w:t xml:space="preserve"> 11 </w:t>
      </w:r>
      <w:r>
        <w:rPr>
          <w:rFonts w:hint="eastAsia" w:ascii="微软雅黑" w:hAnsi="微软雅黑" w:eastAsia="微软雅黑" w:cs="宋体"/>
          <w:color w:val="333333"/>
          <w:kern w:val="0"/>
          <w:szCs w:val="21"/>
          <w:highlight w:val="none"/>
        </w:rPr>
        <w:t>月</w:t>
      </w:r>
      <w:r>
        <w:rPr>
          <w:rFonts w:hint="eastAsia" w:ascii="微软雅黑" w:hAnsi="微软雅黑" w:eastAsia="微软雅黑" w:cs="宋体"/>
          <w:color w:val="333333"/>
          <w:kern w:val="0"/>
          <w:szCs w:val="21"/>
          <w:highlight w:val="none"/>
          <w:lang w:val="en-US" w:eastAsia="zh-CN"/>
        </w:rPr>
        <w:t xml:space="preserve"> 14 </w:t>
      </w:r>
      <w:r>
        <w:rPr>
          <w:rFonts w:hint="eastAsia" w:ascii="微软雅黑" w:hAnsi="微软雅黑" w:eastAsia="微软雅黑" w:cs="宋体"/>
          <w:color w:val="333333"/>
          <w:kern w:val="0"/>
          <w:szCs w:val="21"/>
          <w:highlight w:val="none"/>
        </w:rPr>
        <w:t>日下午17点。</w:t>
      </w:r>
    </w:p>
    <w:p w14:paraId="30A3EDB1">
      <w:pPr>
        <w:widowControl/>
        <w:shd w:val="clear" w:color="auto" w:fill="FFFFFF"/>
        <w:ind w:firstLine="165"/>
        <w:rPr>
          <w:rFonts w:ascii="微软雅黑" w:hAnsi="微软雅黑" w:eastAsia="微软雅黑" w:cs="宋体"/>
          <w:color w:val="333333"/>
          <w:kern w:val="0"/>
          <w:szCs w:val="21"/>
          <w:highlight w:val="none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  <w:highlight w:val="none"/>
        </w:rPr>
        <w:t>地点为：襄阳市第三十六中学(襄城区环城南路5号）</w:t>
      </w:r>
    </w:p>
    <w:p w14:paraId="1AD62626">
      <w:pPr>
        <w:widowControl/>
        <w:shd w:val="clear" w:color="auto" w:fill="FFFFFF"/>
        <w:ind w:firstLine="165"/>
        <w:rPr>
          <w:rFonts w:ascii="微软雅黑" w:hAnsi="微软雅黑" w:eastAsia="微软雅黑" w:cs="宋体"/>
          <w:color w:val="333333"/>
          <w:kern w:val="0"/>
          <w:szCs w:val="21"/>
          <w:highlight w:val="none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  <w:highlight w:val="none"/>
        </w:rPr>
        <w:t>3.逾期送达或者未送达指定地点的、没有密封的竞争性谈判文件，采购人不予受理。</w:t>
      </w:r>
    </w:p>
    <w:p w14:paraId="3486B9C1">
      <w:pPr>
        <w:widowControl/>
        <w:shd w:val="clear" w:color="auto" w:fill="FFFFFF"/>
        <w:ind w:firstLine="165"/>
        <w:rPr>
          <w:rFonts w:ascii="微软雅黑" w:hAnsi="微软雅黑" w:eastAsia="微软雅黑" w:cs="宋体"/>
          <w:color w:val="333333"/>
          <w:kern w:val="0"/>
          <w:szCs w:val="21"/>
          <w:highlight w:val="none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  <w:highlight w:val="none"/>
        </w:rPr>
        <w:t>七、评标、开标时间：</w:t>
      </w:r>
      <w:r>
        <w:rPr>
          <w:rFonts w:hint="eastAsia" w:ascii="微软雅黑" w:hAnsi="微软雅黑" w:eastAsia="微软雅黑" w:cs="宋体"/>
          <w:color w:val="333333"/>
          <w:kern w:val="0"/>
          <w:szCs w:val="21"/>
          <w:highlight w:val="none"/>
        </w:rPr>
        <w:t>202</w:t>
      </w:r>
      <w:r>
        <w:rPr>
          <w:rFonts w:hint="eastAsia" w:ascii="微软雅黑" w:hAnsi="微软雅黑" w:eastAsia="微软雅黑" w:cs="宋体"/>
          <w:color w:val="333333"/>
          <w:kern w:val="0"/>
          <w:szCs w:val="21"/>
          <w:highlight w:val="none"/>
          <w:lang w:val="en-US" w:eastAsia="zh-CN"/>
        </w:rPr>
        <w:t>5</w:t>
      </w:r>
      <w:r>
        <w:rPr>
          <w:rFonts w:hint="eastAsia" w:ascii="微软雅黑" w:hAnsi="微软雅黑" w:eastAsia="微软雅黑" w:cs="宋体"/>
          <w:color w:val="333333"/>
          <w:kern w:val="0"/>
          <w:szCs w:val="21"/>
          <w:highlight w:val="none"/>
        </w:rPr>
        <w:t>年</w:t>
      </w:r>
      <w:r>
        <w:rPr>
          <w:rFonts w:hint="eastAsia" w:ascii="微软雅黑" w:hAnsi="微软雅黑" w:eastAsia="微软雅黑" w:cs="宋体"/>
          <w:color w:val="333333"/>
          <w:kern w:val="0"/>
          <w:szCs w:val="21"/>
          <w:highlight w:val="none"/>
          <w:lang w:val="en-US" w:eastAsia="zh-CN"/>
        </w:rPr>
        <w:t>11</w:t>
      </w:r>
      <w:r>
        <w:rPr>
          <w:rFonts w:hint="eastAsia" w:ascii="微软雅黑" w:hAnsi="微软雅黑" w:eastAsia="微软雅黑" w:cs="宋体"/>
          <w:color w:val="333333"/>
          <w:kern w:val="0"/>
          <w:szCs w:val="21"/>
          <w:highlight w:val="none"/>
        </w:rPr>
        <w:t>月</w:t>
      </w:r>
      <w:r>
        <w:rPr>
          <w:rFonts w:hint="eastAsia" w:ascii="微软雅黑" w:hAnsi="微软雅黑" w:eastAsia="微软雅黑" w:cs="宋体"/>
          <w:color w:val="333333"/>
          <w:kern w:val="0"/>
          <w:szCs w:val="21"/>
          <w:highlight w:val="none"/>
          <w:lang w:val="en-US" w:eastAsia="zh-CN"/>
        </w:rPr>
        <w:t xml:space="preserve">18 </w:t>
      </w:r>
      <w:r>
        <w:rPr>
          <w:rFonts w:hint="eastAsia" w:ascii="微软雅黑" w:hAnsi="微软雅黑" w:eastAsia="微软雅黑" w:cs="宋体"/>
          <w:color w:val="333333"/>
          <w:kern w:val="0"/>
          <w:szCs w:val="21"/>
          <w:highlight w:val="none"/>
        </w:rPr>
        <w:t>日</w:t>
      </w:r>
      <w:r>
        <w:rPr>
          <w:rFonts w:hint="eastAsia" w:ascii="微软雅黑" w:hAnsi="微软雅黑" w:eastAsia="微软雅黑" w:cs="宋体"/>
          <w:color w:val="333333"/>
          <w:kern w:val="0"/>
          <w:szCs w:val="21"/>
          <w:highlight w:val="none"/>
          <w:lang w:val="en-US" w:eastAsia="zh-CN"/>
        </w:rPr>
        <w:t>上</w:t>
      </w:r>
      <w:r>
        <w:rPr>
          <w:rFonts w:hint="eastAsia" w:ascii="微软雅黑" w:hAnsi="微软雅黑" w:eastAsia="微软雅黑" w:cs="宋体"/>
          <w:color w:val="333333"/>
          <w:kern w:val="0"/>
          <w:szCs w:val="21"/>
          <w:highlight w:val="none"/>
        </w:rPr>
        <w:t>午</w:t>
      </w:r>
      <w:r>
        <w:rPr>
          <w:rFonts w:hint="eastAsia" w:ascii="微软雅黑" w:hAnsi="微软雅黑" w:eastAsia="微软雅黑" w:cs="宋体"/>
          <w:color w:val="333333"/>
          <w:kern w:val="0"/>
          <w:szCs w:val="21"/>
          <w:highlight w:val="none"/>
          <w:lang w:val="en-US" w:eastAsia="zh-CN"/>
        </w:rPr>
        <w:t>9</w:t>
      </w:r>
      <w:r>
        <w:rPr>
          <w:rFonts w:hint="eastAsia" w:ascii="微软雅黑" w:hAnsi="微软雅黑" w:eastAsia="微软雅黑" w:cs="宋体"/>
          <w:color w:val="333333"/>
          <w:kern w:val="0"/>
          <w:szCs w:val="21"/>
          <w:highlight w:val="none"/>
        </w:rPr>
        <w:t>点</w:t>
      </w:r>
      <w:r>
        <w:rPr>
          <w:rFonts w:hint="eastAsia" w:ascii="微软雅黑" w:hAnsi="微软雅黑" w:eastAsia="微软雅黑" w:cs="宋体"/>
          <w:color w:val="333333"/>
          <w:kern w:val="0"/>
          <w:szCs w:val="21"/>
          <w:highlight w:val="none"/>
          <w:lang w:val="en-US" w:eastAsia="zh-CN"/>
        </w:rPr>
        <w:t>3</w:t>
      </w:r>
      <w:r>
        <w:rPr>
          <w:rFonts w:hint="eastAsia" w:ascii="微软雅黑" w:hAnsi="微软雅黑" w:eastAsia="微软雅黑" w:cs="宋体"/>
          <w:color w:val="333333"/>
          <w:kern w:val="0"/>
          <w:szCs w:val="21"/>
          <w:highlight w:val="none"/>
        </w:rPr>
        <w:t>0分</w:t>
      </w:r>
      <w:r>
        <w:rPr>
          <w:rFonts w:hint="eastAsia" w:ascii="微软雅黑" w:hAnsi="微软雅黑" w:eastAsia="微软雅黑" w:cs="宋体"/>
          <w:color w:val="333333"/>
          <w:kern w:val="0"/>
          <w:szCs w:val="21"/>
          <w:highlight w:val="none"/>
        </w:rPr>
        <w:t>。地点：</w:t>
      </w:r>
      <w:r>
        <w:rPr>
          <w:rFonts w:hint="eastAsia" w:ascii="微软雅黑" w:hAnsi="微软雅黑" w:eastAsia="微软雅黑" w:cs="宋体"/>
          <w:color w:val="333333"/>
          <w:kern w:val="0"/>
          <w:szCs w:val="21"/>
          <w:highlight w:val="none"/>
        </w:rPr>
        <w:t>致善楼一楼会议室。</w:t>
      </w:r>
    </w:p>
    <w:p w14:paraId="262302D5">
      <w:pPr>
        <w:widowControl/>
        <w:shd w:val="clear" w:color="auto" w:fill="FFFFFF"/>
        <w:ind w:firstLine="165"/>
        <w:rPr>
          <w:rFonts w:ascii="微软雅黑" w:hAnsi="微软雅黑" w:eastAsia="微软雅黑" w:cs="宋体"/>
          <w:color w:val="333333"/>
          <w:kern w:val="0"/>
          <w:szCs w:val="21"/>
          <w:highlight w:val="none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  <w:highlight w:val="none"/>
        </w:rPr>
        <w:t>八、联系方式</w:t>
      </w:r>
    </w:p>
    <w:p w14:paraId="6C811AC3">
      <w:pPr>
        <w:widowControl/>
        <w:shd w:val="clear" w:color="auto" w:fill="FFFFFF"/>
        <w:ind w:firstLine="165"/>
        <w:rPr>
          <w:rFonts w:ascii="微软雅黑" w:hAnsi="微软雅黑" w:eastAsia="微软雅黑" w:cs="宋体"/>
          <w:color w:val="333333"/>
          <w:kern w:val="0"/>
          <w:szCs w:val="21"/>
          <w:highlight w:val="none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  <w:highlight w:val="none"/>
        </w:rPr>
        <w:t>采购人：襄阳市第三十六中学</w:t>
      </w:r>
    </w:p>
    <w:p w14:paraId="659189CD">
      <w:pPr>
        <w:widowControl/>
        <w:shd w:val="clear" w:color="auto" w:fill="FFFFFF"/>
        <w:ind w:firstLine="165"/>
        <w:rPr>
          <w:rFonts w:hint="default" w:ascii="微软雅黑" w:hAnsi="微软雅黑" w:eastAsia="微软雅黑" w:cs="宋体"/>
          <w:color w:val="333333"/>
          <w:kern w:val="0"/>
          <w:szCs w:val="21"/>
          <w:highlight w:val="none"/>
          <w:lang w:val="en-US" w:eastAsia="zh-CN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  <w:highlight w:val="none"/>
        </w:rPr>
        <w:t>联系人：</w:t>
      </w:r>
      <w:r>
        <w:rPr>
          <w:rFonts w:hint="eastAsia" w:ascii="微软雅黑" w:hAnsi="微软雅黑" w:eastAsia="微软雅黑" w:cs="宋体"/>
          <w:color w:val="333333"/>
          <w:kern w:val="0"/>
          <w:szCs w:val="21"/>
          <w:highlight w:val="none"/>
          <w:lang w:val="en-US" w:eastAsia="zh-CN"/>
        </w:rPr>
        <w:t>李</w:t>
      </w:r>
      <w:r>
        <w:rPr>
          <w:rFonts w:hint="eastAsia" w:ascii="微软雅黑" w:hAnsi="微软雅黑" w:eastAsia="微软雅黑" w:cs="宋体"/>
          <w:color w:val="333333"/>
          <w:kern w:val="0"/>
          <w:szCs w:val="21"/>
          <w:highlight w:val="none"/>
        </w:rPr>
        <w:t>老师  联系电话：1</w:t>
      </w:r>
      <w:r>
        <w:rPr>
          <w:rFonts w:hint="eastAsia" w:ascii="微软雅黑" w:hAnsi="微软雅黑" w:eastAsia="微软雅黑" w:cs="宋体"/>
          <w:color w:val="333333"/>
          <w:kern w:val="0"/>
          <w:szCs w:val="21"/>
          <w:highlight w:val="none"/>
          <w:lang w:val="en-US" w:eastAsia="zh-CN"/>
        </w:rPr>
        <w:t>7771123155</w:t>
      </w:r>
    </w:p>
    <w:p w14:paraId="60C80451">
      <w:pPr>
        <w:widowControl/>
        <w:shd w:val="clear" w:color="auto" w:fill="FFFFFF"/>
        <w:ind w:firstLine="165"/>
        <w:rPr>
          <w:rFonts w:ascii="微软雅黑" w:hAnsi="微软雅黑" w:eastAsia="微软雅黑" w:cs="宋体"/>
          <w:color w:val="333333"/>
          <w:kern w:val="0"/>
          <w:szCs w:val="21"/>
          <w:highlight w:val="none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  <w:highlight w:val="none"/>
        </w:rPr>
        <w:t>          王老师  联系电话：17771123185</w:t>
      </w:r>
    </w:p>
    <w:p w14:paraId="0BC4A90F">
      <w:pPr>
        <w:rPr>
          <w:highlight w:val="none"/>
        </w:rPr>
      </w:pPr>
    </w:p>
    <w:p w14:paraId="14742375">
      <w:pPr>
        <w:pStyle w:val="8"/>
        <w:spacing w:before="0" w:beforeAutospacing="0" w:after="0" w:afterAutospacing="0" w:line="360" w:lineRule="auto"/>
        <w:rPr>
          <w:rFonts w:cs="Arial"/>
          <w:b/>
          <w:color w:val="000000"/>
          <w:sz w:val="32"/>
          <w:szCs w:val="32"/>
          <w:highlight w:val="none"/>
          <w:lang w:eastAsia="zh-CN"/>
        </w:rPr>
      </w:pPr>
    </w:p>
    <w:p w14:paraId="4DF51A40">
      <w:pPr>
        <w:pStyle w:val="8"/>
        <w:spacing w:before="0" w:beforeAutospacing="0" w:after="0" w:afterAutospacing="0" w:line="360" w:lineRule="auto"/>
        <w:rPr>
          <w:rFonts w:cs="Arial"/>
          <w:b/>
          <w:color w:val="000000"/>
          <w:sz w:val="32"/>
          <w:szCs w:val="32"/>
          <w:highlight w:val="none"/>
          <w:lang w:eastAsia="zh-CN"/>
        </w:rPr>
      </w:pPr>
    </w:p>
    <w:p w14:paraId="5C972B30">
      <w:pPr>
        <w:pStyle w:val="8"/>
        <w:spacing w:before="0" w:beforeAutospacing="0" w:after="0" w:afterAutospacing="0" w:line="360" w:lineRule="auto"/>
        <w:rPr>
          <w:rFonts w:cs="Arial"/>
          <w:b/>
          <w:color w:val="000000"/>
          <w:sz w:val="32"/>
          <w:szCs w:val="32"/>
          <w:highlight w:val="none"/>
          <w:lang w:eastAsia="zh-CN"/>
        </w:rPr>
      </w:pPr>
    </w:p>
    <w:p w14:paraId="2DDCD0CD">
      <w:pPr>
        <w:pStyle w:val="8"/>
        <w:spacing w:before="0" w:beforeAutospacing="0" w:after="0" w:afterAutospacing="0" w:line="360" w:lineRule="auto"/>
        <w:rPr>
          <w:rFonts w:cs="Arial"/>
          <w:b/>
          <w:color w:val="000000"/>
          <w:sz w:val="32"/>
          <w:szCs w:val="32"/>
          <w:highlight w:val="none"/>
          <w:lang w:eastAsia="zh-CN"/>
        </w:rPr>
      </w:pPr>
    </w:p>
    <w:p w14:paraId="175D7E83">
      <w:pPr>
        <w:pStyle w:val="8"/>
        <w:spacing w:before="0" w:beforeAutospacing="0" w:after="0" w:afterAutospacing="0" w:line="360" w:lineRule="auto"/>
        <w:rPr>
          <w:rFonts w:cs="Arial"/>
          <w:b/>
          <w:color w:val="000000"/>
          <w:sz w:val="32"/>
          <w:szCs w:val="32"/>
          <w:highlight w:val="none"/>
          <w:lang w:eastAsia="zh-CN"/>
        </w:rPr>
      </w:pPr>
    </w:p>
    <w:p w14:paraId="78D906EA">
      <w:pPr>
        <w:pStyle w:val="8"/>
        <w:spacing w:before="0" w:beforeAutospacing="0" w:after="0" w:afterAutospacing="0" w:line="360" w:lineRule="auto"/>
        <w:rPr>
          <w:rFonts w:cs="Arial"/>
          <w:b/>
          <w:color w:val="000000"/>
          <w:sz w:val="32"/>
          <w:szCs w:val="32"/>
          <w:highlight w:val="none"/>
          <w:lang w:eastAsia="zh-CN"/>
        </w:rPr>
      </w:pPr>
    </w:p>
    <w:p w14:paraId="71180EDD">
      <w:pPr>
        <w:pStyle w:val="8"/>
        <w:spacing w:before="0" w:beforeAutospacing="0" w:after="0" w:afterAutospacing="0" w:line="360" w:lineRule="auto"/>
        <w:rPr>
          <w:rFonts w:cs="Arial"/>
          <w:b/>
          <w:color w:val="000000"/>
          <w:sz w:val="32"/>
          <w:szCs w:val="32"/>
          <w:highlight w:val="none"/>
          <w:lang w:eastAsia="zh-CN"/>
        </w:rPr>
      </w:pPr>
      <w:r>
        <w:rPr>
          <w:rFonts w:hint="eastAsia" w:cs="Arial"/>
          <w:b/>
          <w:color w:val="000000"/>
          <w:sz w:val="32"/>
          <w:szCs w:val="32"/>
          <w:highlight w:val="none"/>
          <w:lang w:eastAsia="zh-CN"/>
        </w:rPr>
        <w:t>附件：</w:t>
      </w:r>
    </w:p>
    <w:p w14:paraId="304268DC">
      <w:pPr>
        <w:pStyle w:val="8"/>
        <w:spacing w:before="0" w:beforeAutospacing="0" w:after="0" w:afterAutospacing="0" w:line="360" w:lineRule="auto"/>
        <w:rPr>
          <w:rFonts w:cs="Arial"/>
          <w:b/>
          <w:color w:val="000000"/>
          <w:sz w:val="32"/>
          <w:szCs w:val="32"/>
          <w:highlight w:val="none"/>
        </w:rPr>
      </w:pPr>
      <w:r>
        <w:rPr>
          <w:rFonts w:hint="eastAsia" w:cs="Arial"/>
          <w:b/>
          <w:color w:val="000000"/>
          <w:sz w:val="32"/>
          <w:szCs w:val="32"/>
          <w:highlight w:val="none"/>
        </w:rPr>
        <w:t>运维</w:t>
      </w:r>
      <w:r>
        <w:rPr>
          <w:rFonts w:hint="eastAsia" w:cs="Arial"/>
          <w:b/>
          <w:color w:val="000000"/>
          <w:sz w:val="32"/>
          <w:szCs w:val="32"/>
          <w:highlight w:val="none"/>
          <w:lang w:eastAsia="zh-CN"/>
        </w:rPr>
        <w:t>管理</w:t>
      </w:r>
      <w:r>
        <w:rPr>
          <w:rFonts w:hint="eastAsia" w:cs="Arial"/>
          <w:b/>
          <w:color w:val="000000"/>
          <w:sz w:val="32"/>
          <w:szCs w:val="32"/>
          <w:highlight w:val="none"/>
        </w:rPr>
        <w:t>服务内容及要求</w:t>
      </w:r>
    </w:p>
    <w:p w14:paraId="774E63BC">
      <w:pPr>
        <w:pStyle w:val="5"/>
        <w:adjustRightInd w:val="0"/>
        <w:snapToGrid w:val="0"/>
        <w:spacing w:line="360" w:lineRule="auto"/>
        <w:ind w:firstLine="482" w:firstLineChars="200"/>
        <w:rPr>
          <w:rFonts w:hAnsi="宋体" w:cs="宋体"/>
          <w:b/>
          <w:bCs/>
          <w:sz w:val="24"/>
          <w:szCs w:val="24"/>
          <w:highlight w:val="none"/>
        </w:rPr>
      </w:pPr>
      <w:r>
        <w:rPr>
          <w:rFonts w:hint="eastAsia" w:hAnsi="宋体" w:cs="宋体"/>
          <w:b/>
          <w:bCs/>
          <w:sz w:val="24"/>
          <w:szCs w:val="24"/>
          <w:highlight w:val="none"/>
        </w:rPr>
        <w:t>1、维护目标</w:t>
      </w:r>
    </w:p>
    <w:p w14:paraId="33B6D823">
      <w:pPr>
        <w:pStyle w:val="5"/>
        <w:adjustRightInd w:val="0"/>
        <w:snapToGrid w:val="0"/>
        <w:spacing w:line="360" w:lineRule="auto"/>
        <w:ind w:firstLine="480" w:firstLineChars="200"/>
        <w:rPr>
          <w:rFonts w:hAnsi="宋体"/>
          <w:bCs/>
          <w:color w:val="000000"/>
          <w:sz w:val="24"/>
          <w:szCs w:val="24"/>
          <w:highlight w:val="none"/>
        </w:rPr>
      </w:pPr>
      <w:r>
        <w:rPr>
          <w:rFonts w:hint="eastAsia" w:hAnsi="宋体"/>
          <w:bCs/>
          <w:color w:val="000000"/>
          <w:sz w:val="24"/>
          <w:szCs w:val="24"/>
          <w:highlight w:val="none"/>
        </w:rPr>
        <w:t>通过对</w:t>
      </w:r>
      <w:r>
        <w:rPr>
          <w:rFonts w:hint="eastAsia" w:hAnsi="宋体"/>
          <w:bCs/>
          <w:color w:val="000000"/>
          <w:sz w:val="24"/>
          <w:szCs w:val="24"/>
          <w:highlight w:val="none"/>
          <w:lang w:eastAsia="zh-CN"/>
        </w:rPr>
        <w:t>襄阳市第三十六中学</w:t>
      </w:r>
      <w:r>
        <w:rPr>
          <w:rFonts w:hint="eastAsia" w:hAnsi="宋体"/>
          <w:bCs/>
          <w:color w:val="000000"/>
          <w:sz w:val="24"/>
          <w:szCs w:val="24"/>
          <w:highlight w:val="none"/>
        </w:rPr>
        <w:t>数字化校园</w:t>
      </w:r>
      <w:r>
        <w:rPr>
          <w:rFonts w:hint="eastAsia" w:hAnsi="宋体"/>
          <w:bCs/>
          <w:color w:val="000000"/>
          <w:sz w:val="24"/>
          <w:szCs w:val="24"/>
          <w:highlight w:val="none"/>
          <w:lang w:val="en-US" w:eastAsia="zh-CN"/>
        </w:rPr>
        <w:t>信息</w:t>
      </w:r>
      <w:r>
        <w:rPr>
          <w:rFonts w:hint="eastAsia" w:hAnsi="宋体"/>
          <w:bCs/>
          <w:color w:val="000000"/>
          <w:sz w:val="24"/>
          <w:szCs w:val="24"/>
          <w:highlight w:val="none"/>
        </w:rPr>
        <w:t>系统的专业化运维管理，建立健全运维服务管理体系，梳理运维体系服务请求和故障处理的工作流程，规范运维服务操作，管控运维服务过程和服务质量，保障</w:t>
      </w:r>
      <w:r>
        <w:rPr>
          <w:rFonts w:hint="eastAsia" w:hAnsi="宋体"/>
          <w:bCs/>
          <w:color w:val="000000"/>
          <w:sz w:val="24"/>
          <w:szCs w:val="24"/>
          <w:highlight w:val="none"/>
          <w:lang w:eastAsia="zh-CN"/>
        </w:rPr>
        <w:t>学校</w:t>
      </w:r>
      <w:r>
        <w:rPr>
          <w:rFonts w:hint="eastAsia" w:hAnsi="宋体"/>
          <w:bCs/>
          <w:color w:val="000000"/>
          <w:sz w:val="24"/>
          <w:szCs w:val="24"/>
          <w:highlight w:val="none"/>
        </w:rPr>
        <w:t>业务的稳定运行。</w:t>
      </w:r>
    </w:p>
    <w:p w14:paraId="2E7635C4">
      <w:pPr>
        <w:pStyle w:val="5"/>
        <w:adjustRightInd w:val="0"/>
        <w:snapToGrid w:val="0"/>
        <w:spacing w:line="360" w:lineRule="auto"/>
        <w:ind w:firstLine="482" w:firstLineChars="200"/>
        <w:rPr>
          <w:rFonts w:hAnsi="宋体" w:cs="宋体"/>
          <w:b/>
          <w:bCs/>
          <w:sz w:val="24"/>
          <w:szCs w:val="24"/>
          <w:highlight w:val="none"/>
        </w:rPr>
      </w:pPr>
      <w:r>
        <w:rPr>
          <w:rFonts w:hint="eastAsia" w:hAnsi="宋体" w:cs="宋体"/>
          <w:b/>
          <w:bCs/>
          <w:sz w:val="24"/>
          <w:szCs w:val="24"/>
          <w:highlight w:val="none"/>
        </w:rPr>
        <w:t>2、维护范围</w:t>
      </w:r>
    </w:p>
    <w:p w14:paraId="506CBB30">
      <w:pPr>
        <w:pStyle w:val="5"/>
        <w:adjustRightInd w:val="0"/>
        <w:snapToGrid w:val="0"/>
        <w:spacing w:line="360" w:lineRule="auto"/>
        <w:ind w:firstLine="480" w:firstLineChars="200"/>
        <w:rPr>
          <w:rFonts w:hAnsi="宋体"/>
          <w:bCs/>
          <w:color w:val="000000"/>
          <w:sz w:val="24"/>
          <w:szCs w:val="24"/>
          <w:highlight w:val="none"/>
        </w:rPr>
      </w:pPr>
      <w:r>
        <w:rPr>
          <w:rFonts w:hint="eastAsia" w:hAnsi="宋体"/>
          <w:bCs/>
          <w:color w:val="000000"/>
          <w:sz w:val="24"/>
          <w:szCs w:val="24"/>
          <w:highlight w:val="none"/>
        </w:rPr>
        <w:t>运维服务涵盖了</w:t>
      </w:r>
      <w:r>
        <w:rPr>
          <w:rFonts w:hint="eastAsia" w:hAnsi="宋体"/>
          <w:bCs/>
          <w:color w:val="000000"/>
          <w:sz w:val="24"/>
          <w:szCs w:val="24"/>
          <w:highlight w:val="none"/>
          <w:lang w:val="en-US" w:eastAsia="zh-CN"/>
        </w:rPr>
        <w:t>数字化校园平台、班班通、校园广播系统、校园监控系统、信息发布屏、多媒体会议系统、校园电视台、录播教室、标准化考场、电子班牌、办公设备、校园网络系统、语言教室、智慧图书管理系统、一卡通、人员识别通道闸、模块化机房等系统</w:t>
      </w:r>
      <w:r>
        <w:rPr>
          <w:rFonts w:hint="eastAsia" w:hAnsi="宋体"/>
          <w:bCs/>
          <w:color w:val="000000"/>
          <w:sz w:val="24"/>
          <w:szCs w:val="24"/>
          <w:highlight w:val="none"/>
        </w:rPr>
        <w:t>的维护保修工作、</w:t>
      </w:r>
      <w:r>
        <w:rPr>
          <w:rFonts w:hint="eastAsia" w:hAnsi="宋体"/>
          <w:bCs/>
          <w:color w:val="000000"/>
          <w:sz w:val="24"/>
          <w:szCs w:val="24"/>
          <w:highlight w:val="none"/>
          <w:lang w:eastAsia="zh-CN"/>
        </w:rPr>
        <w:t>设备、服务器、存储的</w:t>
      </w:r>
      <w:r>
        <w:rPr>
          <w:rFonts w:hint="eastAsia" w:hAnsi="宋体"/>
          <w:bCs/>
          <w:color w:val="000000"/>
          <w:sz w:val="24"/>
          <w:szCs w:val="24"/>
          <w:highlight w:val="none"/>
        </w:rPr>
        <w:t>操作系统和数据库的升级</w:t>
      </w:r>
      <w:r>
        <w:rPr>
          <w:rFonts w:hint="eastAsia" w:hAnsi="宋体"/>
          <w:bCs/>
          <w:color w:val="000000"/>
          <w:sz w:val="24"/>
          <w:szCs w:val="24"/>
          <w:highlight w:val="none"/>
          <w:lang w:eastAsia="zh-CN"/>
        </w:rPr>
        <w:t>、</w:t>
      </w:r>
      <w:r>
        <w:rPr>
          <w:rFonts w:hint="eastAsia" w:hAnsi="宋体"/>
          <w:bCs/>
          <w:color w:val="000000"/>
          <w:sz w:val="24"/>
          <w:szCs w:val="24"/>
          <w:highlight w:val="none"/>
        </w:rPr>
        <w:t>补丁及技术支持服务、日常的</w:t>
      </w:r>
      <w:r>
        <w:rPr>
          <w:rFonts w:hint="eastAsia" w:hAnsi="宋体"/>
          <w:bCs/>
          <w:color w:val="000000"/>
          <w:sz w:val="24"/>
          <w:szCs w:val="24"/>
          <w:highlight w:val="none"/>
          <w:lang w:eastAsia="zh-CN"/>
        </w:rPr>
        <w:t>设备运行状态</w:t>
      </w:r>
      <w:r>
        <w:rPr>
          <w:rFonts w:hint="eastAsia" w:hAnsi="宋体"/>
          <w:bCs/>
          <w:color w:val="000000"/>
          <w:sz w:val="24"/>
          <w:szCs w:val="24"/>
          <w:highlight w:val="none"/>
        </w:rPr>
        <w:t>监控、预防性维护、常规性的管理操作、故障的响应和支持、系统和设备变更（安装、调试、优化改进）等。</w:t>
      </w:r>
    </w:p>
    <w:p w14:paraId="656A5FC2">
      <w:pPr>
        <w:pStyle w:val="5"/>
        <w:adjustRightInd w:val="0"/>
        <w:snapToGrid w:val="0"/>
        <w:spacing w:line="360" w:lineRule="auto"/>
        <w:ind w:firstLine="480" w:firstLineChars="200"/>
        <w:rPr>
          <w:rFonts w:hAnsi="宋体"/>
          <w:bCs/>
          <w:color w:val="000000"/>
          <w:sz w:val="24"/>
          <w:szCs w:val="24"/>
          <w:highlight w:val="none"/>
        </w:rPr>
      </w:pPr>
      <w:r>
        <w:rPr>
          <w:rFonts w:hint="eastAsia" w:hAnsi="宋体"/>
          <w:bCs/>
          <w:color w:val="000000"/>
          <w:sz w:val="24"/>
          <w:szCs w:val="24"/>
          <w:highlight w:val="none"/>
        </w:rPr>
        <w:t>运维</w:t>
      </w:r>
      <w:r>
        <w:rPr>
          <w:rFonts w:hint="eastAsia" w:hAnsi="宋体"/>
          <w:bCs/>
          <w:color w:val="000000"/>
          <w:sz w:val="24"/>
          <w:szCs w:val="24"/>
          <w:highlight w:val="none"/>
          <w:lang w:eastAsia="zh-CN"/>
        </w:rPr>
        <w:t>设备</w:t>
      </w:r>
      <w:r>
        <w:rPr>
          <w:rFonts w:hint="eastAsia" w:hAnsi="宋体"/>
          <w:bCs/>
          <w:color w:val="000000"/>
          <w:sz w:val="24"/>
          <w:szCs w:val="24"/>
          <w:highlight w:val="none"/>
        </w:rPr>
        <w:t>主要内容清单如下：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"/>
        <w:gridCol w:w="688"/>
        <w:gridCol w:w="476"/>
        <w:gridCol w:w="4479"/>
        <w:gridCol w:w="879"/>
        <w:gridCol w:w="734"/>
        <w:gridCol w:w="1316"/>
      </w:tblGrid>
      <w:tr w14:paraId="38348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shd w:val="clear" w:color="auto" w:fill="auto"/>
            <w:vAlign w:val="center"/>
          </w:tcPr>
          <w:p w14:paraId="6155800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highlight w:val="none"/>
              </w:rPr>
              <w:t>序号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7BCBAB4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highlight w:val="none"/>
              </w:rPr>
              <w:t>系统内容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A97CC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highlight w:val="none"/>
              </w:rPr>
              <w:t>数量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5F1AE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highlight w:val="none"/>
              </w:rPr>
              <w:t>设备内容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0EB8C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highlight w:val="none"/>
              </w:rPr>
              <w:t>品牌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FC7CE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highlight w:val="none"/>
              </w:rPr>
              <w:t>启用年限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46915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highlight w:val="none"/>
              </w:rPr>
              <w:t>硬件维护方式</w:t>
            </w:r>
          </w:p>
        </w:tc>
      </w:tr>
      <w:tr w14:paraId="2CC34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shd w:val="clear" w:color="auto" w:fill="auto"/>
            <w:vAlign w:val="center"/>
          </w:tcPr>
          <w:p w14:paraId="6602232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17ECE33E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数字化校园平台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438A4C5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1项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BBDFDE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科大讯飞数字化校园管理平台软件及运行服务器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6E1D3A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科大讯飞、浪潮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FE98D4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2020年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22271B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常规维护、数据备份检查</w:t>
            </w:r>
          </w:p>
        </w:tc>
      </w:tr>
      <w:tr w14:paraId="4FB5A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0" w:type="auto"/>
            <w:shd w:val="clear" w:color="auto" w:fill="auto"/>
            <w:vAlign w:val="center"/>
          </w:tcPr>
          <w:p w14:paraId="5FA36F6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6E3CE51D">
            <w:pPr>
              <w:widowControl/>
              <w:jc w:val="both"/>
              <w:rPr>
                <w:rFonts w:hint="default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班班通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FA5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BF03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  <w:t>62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套86寸触控一体机、内置电脑、实物展台、音箱、管理软件和监控运维软件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55E1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鸿合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BAB2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2019年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EF53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常规维护</w:t>
            </w:r>
          </w:p>
        </w:tc>
      </w:tr>
      <w:tr w14:paraId="00432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2" w:hRule="atLeast"/>
        </w:trPr>
        <w:tc>
          <w:tcPr>
            <w:tcW w:w="0" w:type="auto"/>
            <w:shd w:val="clear" w:color="auto" w:fill="auto"/>
            <w:vAlign w:val="center"/>
          </w:tcPr>
          <w:p w14:paraId="6457C1C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14A899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校园广播系统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CC2E2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1项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D234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4</w:t>
            </w:r>
            <w:r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  <w:t>38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只前端音箱、前端功放、解码器、前置放大器、运动场广播扩声系统、校园广播室里主控设备、音源设备、消防联动设备、高考听力模拟备份系统、UPS及其他配套设备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BB21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世邦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6F82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2019年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7C3A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常规维护</w:t>
            </w:r>
          </w:p>
        </w:tc>
      </w:tr>
      <w:tr w14:paraId="62DEC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0" w:type="auto"/>
            <w:shd w:val="clear" w:color="auto" w:fill="auto"/>
            <w:vAlign w:val="center"/>
          </w:tcPr>
          <w:p w14:paraId="2AF092F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365DC6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校园监控系统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A725D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1项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34C2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3</w:t>
            </w:r>
            <w:r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  <w:t>79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个前端摄像机、配套电源、拾音器、光纤、交换机、立杆、后端视频存储、管理软件、电视拼接墙、解码器等配套设备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2EE8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海康威视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7ED0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2019年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5E19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常规维护、视频图像显示及备份检查</w:t>
            </w:r>
          </w:p>
        </w:tc>
      </w:tr>
      <w:tr w14:paraId="48CC7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0" w:type="auto"/>
            <w:shd w:val="clear" w:color="auto" w:fill="auto"/>
            <w:vAlign w:val="center"/>
          </w:tcPr>
          <w:p w14:paraId="61E3B3E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0914D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信息发布屏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83B2C0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1项</w:t>
            </w:r>
          </w:p>
        </w:tc>
        <w:tc>
          <w:tcPr>
            <w:tcW w:w="4480" w:type="dxa"/>
            <w:shd w:val="clear" w:color="auto" w:fill="auto"/>
            <w:vAlign w:val="center"/>
          </w:tcPr>
          <w:p w14:paraId="4CF48D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2套户外LED显示屏，2套室内LED显示屏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10CE34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强力巨彩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484F90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2019年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C0BC3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常规维护、视频图像显示检查</w:t>
            </w:r>
          </w:p>
        </w:tc>
      </w:tr>
      <w:tr w14:paraId="233A0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0" w:type="auto"/>
            <w:shd w:val="clear" w:color="auto" w:fill="auto"/>
            <w:vAlign w:val="center"/>
          </w:tcPr>
          <w:p w14:paraId="689B6B8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2106D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多媒体会议系统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E5B4614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1项</w:t>
            </w:r>
          </w:p>
        </w:tc>
        <w:tc>
          <w:tcPr>
            <w:tcW w:w="4480" w:type="dxa"/>
            <w:shd w:val="clear" w:color="auto" w:fill="auto"/>
            <w:vAlign w:val="center"/>
          </w:tcPr>
          <w:p w14:paraId="0E1FD9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color w:val="000000"/>
                <w:kern w:val="0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2套多媒体会议系统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，含音箱、功放、调音台、话筒、时序器等设备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AEA54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ITC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1936AC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2019年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802DC6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常规维护、设备调试等</w:t>
            </w:r>
          </w:p>
        </w:tc>
      </w:tr>
      <w:tr w14:paraId="26FE4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0" w:type="auto"/>
            <w:shd w:val="clear" w:color="auto" w:fill="auto"/>
            <w:vAlign w:val="center"/>
          </w:tcPr>
          <w:p w14:paraId="0ACC0D35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27917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校园电视台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13BF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1项</w:t>
            </w:r>
          </w:p>
        </w:tc>
        <w:tc>
          <w:tcPr>
            <w:tcW w:w="4480" w:type="dxa"/>
            <w:shd w:val="clear" w:color="auto" w:fill="auto"/>
            <w:vAlign w:val="center"/>
          </w:tcPr>
          <w:p w14:paraId="133E1F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虚拟演播厅、移动录播主机、直播服务器等设备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9FD45E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金视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39FE65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2020年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A775B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常规维护、设备调试等</w:t>
            </w:r>
          </w:p>
        </w:tc>
      </w:tr>
      <w:tr w14:paraId="766B4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0" w:type="auto"/>
            <w:shd w:val="clear" w:color="auto" w:fill="auto"/>
            <w:vAlign w:val="center"/>
          </w:tcPr>
          <w:p w14:paraId="6F385147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0D57E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录播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教室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5637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1项</w:t>
            </w:r>
          </w:p>
        </w:tc>
        <w:tc>
          <w:tcPr>
            <w:tcW w:w="4480" w:type="dxa"/>
            <w:shd w:val="clear" w:color="auto" w:fill="auto"/>
            <w:vAlign w:val="center"/>
          </w:tcPr>
          <w:p w14:paraId="026C59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录播主机、软件、摄像机、麦克风等设备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6786CD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凡龙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375C54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2020年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3035E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常规维护、设备调试等</w:t>
            </w:r>
          </w:p>
        </w:tc>
      </w:tr>
      <w:tr w14:paraId="744E7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0" w:type="auto"/>
            <w:shd w:val="clear" w:color="auto" w:fill="auto"/>
            <w:vAlign w:val="center"/>
          </w:tcPr>
          <w:p w14:paraId="7ED1497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37091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标准化考场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58BA0B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1项</w:t>
            </w:r>
          </w:p>
        </w:tc>
        <w:tc>
          <w:tcPr>
            <w:tcW w:w="4480" w:type="dxa"/>
            <w:shd w:val="clear" w:color="auto" w:fill="auto"/>
            <w:vAlign w:val="center"/>
          </w:tcPr>
          <w:p w14:paraId="099384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color w:val="000000"/>
                <w:kern w:val="0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配合教育考试院运维团队保障高考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2C96DD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2C42DFF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2019年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2AA8C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常规维护、设备调试等</w:t>
            </w:r>
          </w:p>
        </w:tc>
      </w:tr>
      <w:tr w14:paraId="4B12E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0" w:type="auto"/>
            <w:shd w:val="clear" w:color="auto" w:fill="auto"/>
            <w:vAlign w:val="center"/>
          </w:tcPr>
          <w:p w14:paraId="2B759576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6961A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电子班牌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A1CE026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1项</w:t>
            </w:r>
          </w:p>
        </w:tc>
        <w:tc>
          <w:tcPr>
            <w:tcW w:w="4480" w:type="dxa"/>
            <w:shd w:val="clear" w:color="auto" w:fill="auto"/>
            <w:vAlign w:val="center"/>
          </w:tcPr>
          <w:p w14:paraId="312E8F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15套电子班牌及后台管理系统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3F2ADD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希沃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ED0C72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2020年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8F184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常规维护、设备调试等</w:t>
            </w:r>
          </w:p>
        </w:tc>
      </w:tr>
      <w:tr w14:paraId="1AA08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0" w:type="auto"/>
            <w:shd w:val="clear" w:color="auto" w:fill="auto"/>
            <w:vAlign w:val="center"/>
          </w:tcPr>
          <w:p w14:paraId="111F19C5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11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0409C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办公设备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AAB276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1项</w:t>
            </w:r>
          </w:p>
        </w:tc>
        <w:tc>
          <w:tcPr>
            <w:tcW w:w="4480" w:type="dxa"/>
            <w:shd w:val="clear" w:color="auto" w:fill="auto"/>
            <w:vAlign w:val="center"/>
          </w:tcPr>
          <w:p w14:paraId="50A5E8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学校部分电脑、打印机等办公设备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633D9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CB1E890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近年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E13406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常规维护、故障处理</w:t>
            </w:r>
          </w:p>
        </w:tc>
      </w:tr>
      <w:tr w14:paraId="1F8A3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0" w:type="auto"/>
            <w:shd w:val="clear" w:color="auto" w:fill="auto"/>
            <w:vAlign w:val="center"/>
          </w:tcPr>
          <w:p w14:paraId="3FBF0776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12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78EB6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校园网络系统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0F057BE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1项</w:t>
            </w:r>
          </w:p>
        </w:tc>
        <w:tc>
          <w:tcPr>
            <w:tcW w:w="4480" w:type="dxa"/>
            <w:shd w:val="clear" w:color="auto" w:fill="auto"/>
            <w:vAlign w:val="center"/>
          </w:tcPr>
          <w:p w14:paraId="13A30B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防火墙、行为管理设备、堡垒机、核心交换机、汇聚交换机、接入交换机、无线AC、AP、准入认证系统、网络管理软件等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14C4E8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网神、H3C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D5FFB7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2019年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40FD0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常规维护、故障处理、设备调试等</w:t>
            </w:r>
          </w:p>
        </w:tc>
      </w:tr>
      <w:tr w14:paraId="47264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0" w:type="auto"/>
            <w:shd w:val="clear" w:color="auto" w:fill="auto"/>
            <w:vAlign w:val="center"/>
          </w:tcPr>
          <w:p w14:paraId="31AE25F4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13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4584A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语音教室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C6AC505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1项</w:t>
            </w:r>
          </w:p>
        </w:tc>
        <w:tc>
          <w:tcPr>
            <w:tcW w:w="4480" w:type="dxa"/>
            <w:shd w:val="clear" w:color="auto" w:fill="auto"/>
            <w:vAlign w:val="center"/>
          </w:tcPr>
          <w:p w14:paraId="49B4E1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英语听说智能教学软件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、65套云终端、服务器、交换机等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680C4B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科大讯飞、锐捷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C29248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2020年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9FF72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常规维护、故障处理、设备调试等</w:t>
            </w:r>
          </w:p>
        </w:tc>
      </w:tr>
      <w:tr w14:paraId="57F87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0" w:type="auto"/>
            <w:shd w:val="clear" w:color="auto" w:fill="auto"/>
            <w:vAlign w:val="center"/>
          </w:tcPr>
          <w:p w14:paraId="1835B69E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14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04A68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智慧图书管理系统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76CB274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1项</w:t>
            </w:r>
          </w:p>
        </w:tc>
        <w:tc>
          <w:tcPr>
            <w:tcW w:w="4480" w:type="dxa"/>
            <w:shd w:val="clear" w:color="auto" w:fill="auto"/>
            <w:vAlign w:val="center"/>
          </w:tcPr>
          <w:p w14:paraId="0124E6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校园数字图书馆阅读平台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、图书自动化集群借阅管理系统、电子图书、电子阅览室云终端、服务器和云桌面软件等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1A4785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博盛数字、锐捷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3701FA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2020年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01F35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常规维护、故障处理、设备调试等</w:t>
            </w:r>
          </w:p>
        </w:tc>
      </w:tr>
      <w:tr w14:paraId="39C78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0" w:type="auto"/>
            <w:shd w:val="clear" w:color="auto" w:fill="auto"/>
            <w:vAlign w:val="center"/>
          </w:tcPr>
          <w:p w14:paraId="462A4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2F4FE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一卡通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0E16B93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1项</w:t>
            </w:r>
          </w:p>
        </w:tc>
        <w:tc>
          <w:tcPr>
            <w:tcW w:w="4480" w:type="dxa"/>
            <w:shd w:val="clear" w:color="auto" w:fill="auto"/>
            <w:vAlign w:val="center"/>
          </w:tcPr>
          <w:p w14:paraId="3823B5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一卡通系统、服务器、收款机、充值机等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8C6BBB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新中新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60E5DA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2020年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64248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常规维护、故障处理、设备调试等</w:t>
            </w:r>
          </w:p>
        </w:tc>
      </w:tr>
      <w:tr w14:paraId="3EEE1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0" w:type="auto"/>
            <w:shd w:val="clear" w:color="auto" w:fill="auto"/>
            <w:vAlign w:val="center"/>
          </w:tcPr>
          <w:p w14:paraId="1CFD9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128A4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人员识别通道闸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A88BB4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1项</w:t>
            </w:r>
          </w:p>
        </w:tc>
        <w:tc>
          <w:tcPr>
            <w:tcW w:w="4480" w:type="dxa"/>
            <w:shd w:val="clear" w:color="auto" w:fill="auto"/>
            <w:vAlign w:val="center"/>
          </w:tcPr>
          <w:p w14:paraId="1E7C9F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校园门口和女生宿舍人员通道闸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63BF29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海康威视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747021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2020年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46B12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常规维护、故障处理、设备调试等</w:t>
            </w:r>
          </w:p>
        </w:tc>
      </w:tr>
      <w:tr w14:paraId="2F10C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0" w:type="auto"/>
            <w:shd w:val="clear" w:color="auto" w:fill="auto"/>
            <w:vAlign w:val="center"/>
          </w:tcPr>
          <w:p w14:paraId="60AF3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32FE3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模块化机房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AB4FFEE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1项</w:t>
            </w:r>
          </w:p>
        </w:tc>
        <w:tc>
          <w:tcPr>
            <w:tcW w:w="4480" w:type="dxa"/>
            <w:shd w:val="clear" w:color="auto" w:fill="auto"/>
            <w:vAlign w:val="center"/>
          </w:tcPr>
          <w:p w14:paraId="356D7D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模块化机房、UPS、精密空调、机柜、显示屏等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4D6FE4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艾特网能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95C2ED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2019年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A939A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常规维护、故障处理、设备调试等</w:t>
            </w:r>
          </w:p>
        </w:tc>
      </w:tr>
    </w:tbl>
    <w:p w14:paraId="3DBD4E01">
      <w:pPr>
        <w:pStyle w:val="5"/>
        <w:adjustRightInd w:val="0"/>
        <w:snapToGrid w:val="0"/>
        <w:spacing w:line="360" w:lineRule="auto"/>
        <w:rPr>
          <w:rFonts w:hAnsi="宋体"/>
          <w:bCs/>
          <w:color w:val="000000"/>
          <w:sz w:val="24"/>
          <w:szCs w:val="24"/>
          <w:highlight w:val="none"/>
        </w:rPr>
      </w:pPr>
    </w:p>
    <w:p w14:paraId="448943B5">
      <w:pPr>
        <w:pStyle w:val="5"/>
        <w:adjustRightInd w:val="0"/>
        <w:snapToGrid w:val="0"/>
        <w:spacing w:line="360" w:lineRule="auto"/>
        <w:ind w:firstLine="482" w:firstLineChars="200"/>
        <w:rPr>
          <w:rFonts w:hAnsi="宋体" w:cs="宋体"/>
          <w:b/>
          <w:bCs/>
          <w:sz w:val="24"/>
          <w:szCs w:val="24"/>
          <w:highlight w:val="none"/>
        </w:rPr>
      </w:pPr>
      <w:r>
        <w:rPr>
          <w:rFonts w:hAnsi="宋体" w:cs="宋体"/>
          <w:b/>
          <w:bCs/>
          <w:sz w:val="24"/>
          <w:szCs w:val="24"/>
          <w:highlight w:val="none"/>
        </w:rPr>
        <w:t>3、</w:t>
      </w:r>
      <w:r>
        <w:rPr>
          <w:rFonts w:hint="eastAsia" w:hAnsi="宋体" w:cs="宋体"/>
          <w:b/>
          <w:bCs/>
          <w:sz w:val="24"/>
          <w:szCs w:val="24"/>
          <w:highlight w:val="none"/>
        </w:rPr>
        <w:t>维护服务</w:t>
      </w:r>
      <w:r>
        <w:rPr>
          <w:rFonts w:hint="eastAsia" w:hAnsi="宋体" w:cs="宋体"/>
          <w:b/>
          <w:bCs/>
          <w:sz w:val="24"/>
          <w:szCs w:val="24"/>
          <w:highlight w:val="none"/>
          <w:lang w:eastAsia="zh-CN"/>
        </w:rPr>
        <w:t>响应</w:t>
      </w:r>
    </w:p>
    <w:p w14:paraId="23E7F2EF">
      <w:pPr>
        <w:pStyle w:val="5"/>
        <w:adjustRightInd w:val="0"/>
        <w:snapToGrid w:val="0"/>
        <w:spacing w:line="360" w:lineRule="auto"/>
        <w:ind w:firstLine="480" w:firstLineChars="200"/>
        <w:rPr>
          <w:rFonts w:hAnsi="宋体"/>
          <w:bCs/>
          <w:color w:val="000000"/>
          <w:sz w:val="24"/>
          <w:szCs w:val="24"/>
          <w:highlight w:val="none"/>
        </w:rPr>
      </w:pPr>
      <w:r>
        <w:rPr>
          <w:rFonts w:hAnsi="宋体"/>
          <w:bCs/>
          <w:color w:val="000000"/>
          <w:sz w:val="24"/>
          <w:szCs w:val="24"/>
          <w:highlight w:val="none"/>
        </w:rPr>
        <w:t>3</w:t>
      </w:r>
      <w:r>
        <w:rPr>
          <w:rFonts w:hint="eastAsia" w:hAnsi="宋体"/>
          <w:bCs/>
          <w:color w:val="000000"/>
          <w:sz w:val="24"/>
          <w:szCs w:val="24"/>
          <w:highlight w:val="none"/>
        </w:rPr>
        <w:t>.1服务时间：</w:t>
      </w:r>
      <w:r>
        <w:rPr>
          <w:rFonts w:hAnsi="宋体"/>
          <w:bCs/>
          <w:color w:val="000000"/>
          <w:sz w:val="24"/>
          <w:szCs w:val="24"/>
          <w:highlight w:val="none"/>
        </w:rPr>
        <w:t>7*24</w:t>
      </w:r>
      <w:r>
        <w:rPr>
          <w:rFonts w:hint="eastAsia" w:hAnsi="宋体"/>
          <w:bCs/>
          <w:color w:val="000000"/>
          <w:sz w:val="24"/>
          <w:szCs w:val="24"/>
          <w:highlight w:val="none"/>
        </w:rPr>
        <w:t>小时。</w:t>
      </w:r>
    </w:p>
    <w:p w14:paraId="31B26641">
      <w:pPr>
        <w:pStyle w:val="5"/>
        <w:adjustRightInd w:val="0"/>
        <w:snapToGrid w:val="0"/>
        <w:spacing w:line="360" w:lineRule="auto"/>
        <w:ind w:firstLine="480" w:firstLineChars="200"/>
        <w:rPr>
          <w:rFonts w:hAnsi="宋体"/>
          <w:bCs/>
          <w:color w:val="000000"/>
          <w:sz w:val="24"/>
          <w:szCs w:val="24"/>
          <w:highlight w:val="none"/>
        </w:rPr>
      </w:pPr>
      <w:r>
        <w:rPr>
          <w:rFonts w:hint="eastAsia" w:hAnsi="宋体"/>
          <w:bCs/>
          <w:color w:val="000000"/>
          <w:sz w:val="24"/>
          <w:szCs w:val="24"/>
          <w:highlight w:val="none"/>
        </w:rPr>
        <w:t>驻场</w:t>
      </w:r>
      <w:r>
        <w:rPr>
          <w:rFonts w:hint="eastAsia" w:hAnsi="宋体"/>
          <w:bCs/>
          <w:color w:val="000000"/>
          <w:sz w:val="24"/>
          <w:szCs w:val="24"/>
          <w:highlight w:val="none"/>
          <w:lang w:eastAsia="zh-CN"/>
        </w:rPr>
        <w:t>运维</w:t>
      </w:r>
      <w:r>
        <w:rPr>
          <w:rFonts w:hint="eastAsia" w:hAnsi="宋体"/>
          <w:bCs/>
          <w:color w:val="000000"/>
          <w:sz w:val="24"/>
          <w:szCs w:val="24"/>
          <w:highlight w:val="none"/>
        </w:rPr>
        <w:t>：</w:t>
      </w:r>
      <w:r>
        <w:rPr>
          <w:rFonts w:hint="eastAsia" w:hAnsi="宋体"/>
          <w:bCs/>
          <w:color w:val="000000"/>
          <w:sz w:val="24"/>
          <w:szCs w:val="24"/>
          <w:highlight w:val="none"/>
          <w:lang w:eastAsia="zh-CN"/>
        </w:rPr>
        <w:t>要求</w:t>
      </w:r>
      <w:r>
        <w:rPr>
          <w:rFonts w:hint="eastAsia" w:hAnsi="宋体"/>
          <w:sz w:val="24"/>
          <w:szCs w:val="24"/>
          <w:highlight w:val="none"/>
        </w:rPr>
        <w:t>建立5*8小时</w:t>
      </w:r>
      <w:r>
        <w:rPr>
          <w:rFonts w:hint="eastAsia" w:hAnsi="宋体"/>
          <w:sz w:val="24"/>
          <w:szCs w:val="24"/>
          <w:highlight w:val="none"/>
          <w:lang w:val="en-US" w:eastAsia="zh-CN"/>
        </w:rPr>
        <w:t>驻场运维服务</w:t>
      </w:r>
      <w:r>
        <w:rPr>
          <w:rFonts w:hint="eastAsia" w:hAnsi="宋体"/>
          <w:sz w:val="24"/>
          <w:szCs w:val="24"/>
          <w:highlight w:val="none"/>
        </w:rPr>
        <w:t>、7*24小时电话值守制度，实时受理故障申告，接到故障报告后，</w:t>
      </w:r>
      <w:r>
        <w:rPr>
          <w:rFonts w:hint="eastAsia" w:hAnsi="宋体"/>
          <w:sz w:val="24"/>
          <w:szCs w:val="24"/>
          <w:highlight w:val="none"/>
          <w:lang w:val="en-US" w:eastAsia="zh-CN"/>
        </w:rPr>
        <w:t>5</w:t>
      </w:r>
      <w:r>
        <w:rPr>
          <w:rFonts w:hint="eastAsia" w:hAnsi="宋体"/>
          <w:sz w:val="24"/>
          <w:szCs w:val="24"/>
          <w:highlight w:val="none"/>
          <w:lang w:eastAsia="zh-CN"/>
        </w:rPr>
        <w:t>分钟响应，</w:t>
      </w:r>
      <w:r>
        <w:rPr>
          <w:rFonts w:hint="eastAsia" w:hAnsi="宋体"/>
          <w:sz w:val="24"/>
          <w:szCs w:val="24"/>
          <w:highlight w:val="none"/>
          <w:lang w:val="en-US" w:eastAsia="zh-CN"/>
        </w:rPr>
        <w:t>10</w:t>
      </w:r>
      <w:r>
        <w:rPr>
          <w:rFonts w:hint="eastAsia" w:hAnsi="宋体"/>
          <w:sz w:val="24"/>
          <w:szCs w:val="24"/>
          <w:highlight w:val="none"/>
          <w:lang w:eastAsia="zh-CN"/>
        </w:rPr>
        <w:t>分钟到场</w:t>
      </w:r>
      <w:r>
        <w:rPr>
          <w:rFonts w:hint="eastAsia" w:hAnsi="宋体"/>
          <w:bCs/>
          <w:color w:val="000000"/>
          <w:sz w:val="24"/>
          <w:szCs w:val="24"/>
          <w:highlight w:val="none"/>
        </w:rPr>
        <w:t>。</w:t>
      </w:r>
    </w:p>
    <w:p w14:paraId="57E77257">
      <w:pPr>
        <w:pStyle w:val="5"/>
        <w:adjustRightInd w:val="0"/>
        <w:snapToGrid w:val="0"/>
        <w:spacing w:line="360" w:lineRule="auto"/>
        <w:ind w:firstLine="480" w:firstLineChars="200"/>
        <w:rPr>
          <w:rFonts w:hAnsi="宋体"/>
          <w:bCs/>
          <w:color w:val="000000"/>
          <w:sz w:val="24"/>
          <w:szCs w:val="24"/>
          <w:highlight w:val="none"/>
        </w:rPr>
      </w:pPr>
      <w:r>
        <w:rPr>
          <w:rFonts w:hAnsi="宋体"/>
          <w:bCs/>
          <w:color w:val="000000"/>
          <w:sz w:val="24"/>
          <w:szCs w:val="24"/>
          <w:highlight w:val="none"/>
        </w:rPr>
        <w:t>3</w:t>
      </w:r>
      <w:r>
        <w:rPr>
          <w:rFonts w:hint="eastAsia" w:hAnsi="宋体"/>
          <w:bCs/>
          <w:color w:val="000000"/>
          <w:sz w:val="24"/>
          <w:szCs w:val="24"/>
          <w:highlight w:val="none"/>
        </w:rPr>
        <w:t>.2故障响应及处理时间：</w:t>
      </w:r>
    </w:p>
    <w:p w14:paraId="1E39072E">
      <w:pPr>
        <w:pStyle w:val="5"/>
        <w:adjustRightInd w:val="0"/>
        <w:snapToGrid w:val="0"/>
        <w:spacing w:line="360" w:lineRule="auto"/>
        <w:ind w:firstLine="480" w:firstLineChars="200"/>
        <w:rPr>
          <w:rFonts w:hAnsi="宋体"/>
          <w:bCs/>
          <w:sz w:val="24"/>
          <w:szCs w:val="24"/>
          <w:highlight w:val="none"/>
        </w:rPr>
      </w:pPr>
      <w:r>
        <w:rPr>
          <w:rFonts w:hAnsi="宋体"/>
          <w:bCs/>
          <w:color w:val="000000"/>
          <w:sz w:val="24"/>
          <w:szCs w:val="24"/>
          <w:highlight w:val="none"/>
        </w:rPr>
        <w:t>3</w:t>
      </w:r>
      <w:r>
        <w:rPr>
          <w:rFonts w:hint="eastAsia" w:hAnsi="宋体"/>
          <w:bCs/>
          <w:color w:val="000000"/>
          <w:sz w:val="24"/>
          <w:szCs w:val="24"/>
          <w:highlight w:val="none"/>
        </w:rPr>
        <w:t>.2</w:t>
      </w:r>
      <w:r>
        <w:rPr>
          <w:rFonts w:hAnsi="宋体"/>
          <w:bCs/>
          <w:color w:val="000000"/>
          <w:sz w:val="24"/>
          <w:szCs w:val="24"/>
          <w:highlight w:val="none"/>
        </w:rPr>
        <w:t xml:space="preserve">.1 </w:t>
      </w:r>
      <w:r>
        <w:rPr>
          <w:rFonts w:hint="eastAsia" w:hAnsi="宋体"/>
          <w:bCs/>
          <w:sz w:val="24"/>
          <w:szCs w:val="24"/>
          <w:highlight w:val="none"/>
        </w:rPr>
        <w:t>服务响应到场时间：</w:t>
      </w:r>
      <w:r>
        <w:rPr>
          <w:rFonts w:hint="eastAsia" w:hAnsi="宋体"/>
          <w:bCs/>
          <w:sz w:val="24"/>
          <w:szCs w:val="24"/>
          <w:highlight w:val="none"/>
          <w:lang w:val="en-US" w:eastAsia="zh-CN"/>
        </w:rPr>
        <w:t>5</w:t>
      </w:r>
      <w:r>
        <w:rPr>
          <w:rFonts w:hint="eastAsia" w:hAnsi="宋体"/>
          <w:bCs/>
          <w:sz w:val="24"/>
          <w:szCs w:val="24"/>
          <w:highlight w:val="none"/>
        </w:rPr>
        <w:t>分钟响应，</w:t>
      </w:r>
      <w:r>
        <w:rPr>
          <w:rFonts w:hint="eastAsia" w:hAnsi="宋体"/>
          <w:bCs/>
          <w:sz w:val="24"/>
          <w:szCs w:val="24"/>
          <w:highlight w:val="none"/>
          <w:lang w:val="en-US" w:eastAsia="zh-CN"/>
        </w:rPr>
        <w:t>10</w:t>
      </w:r>
      <w:r>
        <w:rPr>
          <w:rFonts w:hint="eastAsia" w:hAnsi="宋体"/>
          <w:bCs/>
          <w:sz w:val="24"/>
          <w:szCs w:val="24"/>
          <w:highlight w:val="none"/>
        </w:rPr>
        <w:t>分钟到场；夜间、休息日30分钟响应，</w:t>
      </w:r>
      <w:r>
        <w:rPr>
          <w:rFonts w:hint="eastAsia" w:hAnsi="宋体"/>
          <w:bCs/>
          <w:sz w:val="24"/>
          <w:szCs w:val="24"/>
          <w:highlight w:val="none"/>
          <w:lang w:val="en-US" w:eastAsia="zh-CN"/>
        </w:rPr>
        <w:t>60</w:t>
      </w:r>
      <w:r>
        <w:rPr>
          <w:rFonts w:hint="eastAsia" w:hAnsi="宋体"/>
          <w:bCs/>
          <w:sz w:val="24"/>
          <w:szCs w:val="24"/>
          <w:highlight w:val="none"/>
        </w:rPr>
        <w:t>分钟到场。</w:t>
      </w:r>
    </w:p>
    <w:p w14:paraId="19ACDFF0">
      <w:pPr>
        <w:pStyle w:val="5"/>
        <w:adjustRightInd w:val="0"/>
        <w:snapToGrid w:val="0"/>
        <w:spacing w:line="360" w:lineRule="auto"/>
        <w:ind w:firstLine="480" w:firstLineChars="200"/>
        <w:rPr>
          <w:rFonts w:hAnsi="宋体"/>
          <w:bCs/>
          <w:color w:val="000000"/>
          <w:sz w:val="24"/>
          <w:szCs w:val="24"/>
          <w:highlight w:val="none"/>
        </w:rPr>
      </w:pPr>
      <w:r>
        <w:rPr>
          <w:rFonts w:hAnsi="宋体"/>
          <w:bCs/>
          <w:color w:val="000000"/>
          <w:sz w:val="24"/>
          <w:szCs w:val="24"/>
          <w:highlight w:val="none"/>
        </w:rPr>
        <w:t>3.2.2</w:t>
      </w:r>
      <w:r>
        <w:rPr>
          <w:rFonts w:hint="eastAsia" w:hAnsi="宋体"/>
          <w:bCs/>
          <w:color w:val="000000"/>
          <w:sz w:val="24"/>
          <w:szCs w:val="24"/>
          <w:highlight w:val="none"/>
        </w:rPr>
        <w:t>紧急故障问题:紧急问题导致系统停止运转的，解决处理时间</w:t>
      </w:r>
      <w:r>
        <w:rPr>
          <w:rFonts w:hAnsi="宋体"/>
          <w:bCs/>
          <w:color w:val="000000"/>
          <w:sz w:val="24"/>
          <w:szCs w:val="24"/>
          <w:highlight w:val="none"/>
        </w:rPr>
        <w:t>6</w:t>
      </w:r>
      <w:r>
        <w:rPr>
          <w:rFonts w:hint="eastAsia" w:hAnsi="宋体"/>
          <w:bCs/>
          <w:color w:val="000000"/>
          <w:sz w:val="24"/>
          <w:szCs w:val="24"/>
          <w:highlight w:val="none"/>
        </w:rPr>
        <w:t>小时以内。</w:t>
      </w:r>
    </w:p>
    <w:p w14:paraId="11E37BB4">
      <w:pPr>
        <w:pStyle w:val="5"/>
        <w:adjustRightInd w:val="0"/>
        <w:snapToGrid w:val="0"/>
        <w:spacing w:line="360" w:lineRule="auto"/>
        <w:ind w:firstLine="480" w:firstLineChars="200"/>
        <w:rPr>
          <w:rFonts w:hAnsi="宋体"/>
          <w:bCs/>
          <w:color w:val="000000"/>
          <w:sz w:val="24"/>
          <w:szCs w:val="24"/>
          <w:highlight w:val="none"/>
        </w:rPr>
      </w:pPr>
      <w:r>
        <w:rPr>
          <w:rFonts w:hAnsi="宋体"/>
          <w:bCs/>
          <w:color w:val="000000"/>
          <w:sz w:val="24"/>
          <w:szCs w:val="24"/>
          <w:highlight w:val="none"/>
        </w:rPr>
        <w:t>3.2.3</w:t>
      </w:r>
      <w:r>
        <w:rPr>
          <w:rFonts w:hint="eastAsia" w:hAnsi="宋体"/>
          <w:bCs/>
          <w:color w:val="000000"/>
          <w:sz w:val="24"/>
          <w:szCs w:val="24"/>
          <w:highlight w:val="none"/>
        </w:rPr>
        <w:t>严重故障问题:故障导致系统性能下降,但不影响业务正常运转的，解决处理时间</w:t>
      </w:r>
      <w:r>
        <w:rPr>
          <w:rFonts w:hAnsi="宋体"/>
          <w:bCs/>
          <w:color w:val="000000"/>
          <w:sz w:val="24"/>
          <w:szCs w:val="24"/>
          <w:highlight w:val="none"/>
        </w:rPr>
        <w:t>4</w:t>
      </w:r>
      <w:r>
        <w:rPr>
          <w:rFonts w:hint="eastAsia" w:hAnsi="宋体"/>
          <w:bCs/>
          <w:color w:val="000000"/>
          <w:sz w:val="24"/>
          <w:szCs w:val="24"/>
          <w:highlight w:val="none"/>
        </w:rPr>
        <w:t>个小时以内。</w:t>
      </w:r>
    </w:p>
    <w:p w14:paraId="5FA16DCC">
      <w:pPr>
        <w:pStyle w:val="5"/>
        <w:adjustRightInd w:val="0"/>
        <w:snapToGrid w:val="0"/>
        <w:spacing w:line="360" w:lineRule="auto"/>
        <w:ind w:firstLine="480" w:firstLineChars="200"/>
        <w:rPr>
          <w:rFonts w:hAnsi="宋体"/>
          <w:bCs/>
          <w:color w:val="000000"/>
          <w:sz w:val="24"/>
          <w:szCs w:val="24"/>
          <w:highlight w:val="none"/>
        </w:rPr>
      </w:pPr>
      <w:r>
        <w:rPr>
          <w:rFonts w:hAnsi="宋体"/>
          <w:bCs/>
          <w:color w:val="000000"/>
          <w:sz w:val="24"/>
          <w:szCs w:val="24"/>
          <w:highlight w:val="none"/>
        </w:rPr>
        <w:t>3.2.4</w:t>
      </w:r>
      <w:r>
        <w:rPr>
          <w:rFonts w:hint="eastAsia" w:hAnsi="宋体"/>
          <w:bCs/>
          <w:color w:val="000000"/>
          <w:sz w:val="24"/>
          <w:szCs w:val="24"/>
          <w:highlight w:val="none"/>
        </w:rPr>
        <w:t>一般故障问题:系统出现报错或告警，系统能正常运行且性能不受影响的，解决处理时间</w:t>
      </w:r>
      <w:r>
        <w:rPr>
          <w:rFonts w:hAnsi="宋体"/>
          <w:bCs/>
          <w:color w:val="000000"/>
          <w:sz w:val="24"/>
          <w:szCs w:val="24"/>
          <w:highlight w:val="none"/>
        </w:rPr>
        <w:t>2</w:t>
      </w:r>
      <w:r>
        <w:rPr>
          <w:rFonts w:hint="eastAsia" w:hAnsi="宋体"/>
          <w:bCs/>
          <w:color w:val="000000"/>
          <w:sz w:val="24"/>
          <w:szCs w:val="24"/>
          <w:highlight w:val="none"/>
        </w:rPr>
        <w:t>个小时以内。</w:t>
      </w:r>
    </w:p>
    <w:p w14:paraId="3343EAE5">
      <w:pPr>
        <w:pStyle w:val="5"/>
        <w:adjustRightInd w:val="0"/>
        <w:snapToGrid w:val="0"/>
        <w:spacing w:line="360" w:lineRule="auto"/>
        <w:ind w:firstLine="480" w:firstLineChars="200"/>
        <w:rPr>
          <w:rFonts w:hAnsi="宋体"/>
          <w:bCs/>
          <w:color w:val="000000"/>
          <w:sz w:val="24"/>
          <w:szCs w:val="24"/>
          <w:highlight w:val="none"/>
        </w:rPr>
      </w:pPr>
      <w:r>
        <w:rPr>
          <w:rFonts w:hAnsi="宋体"/>
          <w:bCs/>
          <w:color w:val="000000"/>
          <w:sz w:val="24"/>
          <w:szCs w:val="24"/>
          <w:highlight w:val="none"/>
        </w:rPr>
        <w:t>3</w:t>
      </w:r>
      <w:r>
        <w:rPr>
          <w:rFonts w:hint="eastAsia" w:hAnsi="宋体"/>
          <w:bCs/>
          <w:color w:val="000000"/>
          <w:sz w:val="24"/>
          <w:szCs w:val="24"/>
          <w:highlight w:val="none"/>
        </w:rPr>
        <w:t>.</w:t>
      </w:r>
      <w:r>
        <w:rPr>
          <w:rFonts w:hAnsi="宋体"/>
          <w:bCs/>
          <w:color w:val="000000"/>
          <w:sz w:val="24"/>
          <w:szCs w:val="24"/>
          <w:highlight w:val="none"/>
        </w:rPr>
        <w:t>3</w:t>
      </w:r>
      <w:r>
        <w:rPr>
          <w:rFonts w:hint="eastAsia" w:hAnsi="宋体"/>
          <w:bCs/>
          <w:color w:val="000000"/>
          <w:sz w:val="24"/>
          <w:szCs w:val="24"/>
          <w:highlight w:val="none"/>
        </w:rPr>
        <w:t>故障相应机制</w:t>
      </w:r>
    </w:p>
    <w:p w14:paraId="17B14425">
      <w:pPr>
        <w:pStyle w:val="5"/>
        <w:adjustRightInd w:val="0"/>
        <w:snapToGrid w:val="0"/>
        <w:spacing w:line="360" w:lineRule="auto"/>
        <w:ind w:firstLine="480" w:firstLineChars="200"/>
        <w:rPr>
          <w:rFonts w:hAnsi="宋体"/>
          <w:bCs/>
          <w:color w:val="000000"/>
          <w:sz w:val="24"/>
          <w:szCs w:val="24"/>
          <w:highlight w:val="none"/>
        </w:rPr>
      </w:pPr>
      <w:r>
        <w:rPr>
          <w:rFonts w:hint="eastAsia" w:hAnsi="宋体"/>
          <w:bCs/>
          <w:color w:val="000000"/>
          <w:sz w:val="24"/>
          <w:szCs w:val="24"/>
          <w:highlight w:val="none"/>
        </w:rPr>
        <w:t>维护公司需配备专有故障响应人员至少1名</w:t>
      </w:r>
      <w:r>
        <w:rPr>
          <w:rFonts w:hint="eastAsia" w:hAnsi="宋体"/>
          <w:bCs/>
          <w:color w:val="000000"/>
          <w:sz w:val="24"/>
          <w:szCs w:val="24"/>
          <w:highlight w:val="none"/>
          <w:lang w:eastAsia="zh-CN"/>
        </w:rPr>
        <w:t>固定</w:t>
      </w:r>
      <w:r>
        <w:rPr>
          <w:rFonts w:hint="eastAsia" w:hAnsi="宋体"/>
          <w:bCs/>
          <w:color w:val="000000"/>
          <w:sz w:val="24"/>
          <w:szCs w:val="24"/>
          <w:highlight w:val="none"/>
        </w:rPr>
        <w:t>服务，</w:t>
      </w:r>
      <w:r>
        <w:rPr>
          <w:rFonts w:hint="eastAsia" w:hAnsi="宋体"/>
          <w:bCs/>
          <w:color w:val="000000"/>
          <w:sz w:val="24"/>
          <w:szCs w:val="24"/>
          <w:highlight w:val="none"/>
          <w:lang w:eastAsia="zh-CN"/>
        </w:rPr>
        <w:t>随时</w:t>
      </w:r>
      <w:r>
        <w:rPr>
          <w:rFonts w:hint="eastAsia" w:hAnsi="宋体"/>
          <w:bCs/>
          <w:color w:val="000000"/>
          <w:sz w:val="24"/>
          <w:szCs w:val="24"/>
          <w:highlight w:val="none"/>
        </w:rPr>
        <w:t>接受</w:t>
      </w:r>
      <w:r>
        <w:rPr>
          <w:rFonts w:hint="eastAsia" w:hAnsi="宋体"/>
          <w:bCs/>
          <w:color w:val="000000"/>
          <w:sz w:val="24"/>
          <w:szCs w:val="24"/>
          <w:highlight w:val="none"/>
          <w:lang w:eastAsia="zh-CN"/>
        </w:rPr>
        <w:t>校</w:t>
      </w:r>
      <w:r>
        <w:rPr>
          <w:rFonts w:hint="eastAsia" w:hAnsi="宋体"/>
          <w:bCs/>
          <w:color w:val="000000"/>
          <w:sz w:val="24"/>
          <w:szCs w:val="24"/>
          <w:highlight w:val="none"/>
        </w:rPr>
        <w:t>方信息部门故障报修、工作安排，然后根据维护公司具体分工，协调组织维护人员开展工作，并实时反馈所接收任务的完成进度，按照运维制度规范的要求完成运维服务工作。</w:t>
      </w:r>
    </w:p>
    <w:p w14:paraId="50E8939C">
      <w:pPr>
        <w:pStyle w:val="5"/>
        <w:adjustRightInd w:val="0"/>
        <w:snapToGrid w:val="0"/>
        <w:spacing w:line="360" w:lineRule="auto"/>
        <w:ind w:firstLine="482" w:firstLineChars="200"/>
        <w:rPr>
          <w:rFonts w:hAnsi="宋体" w:cs="宋体"/>
          <w:b/>
          <w:bCs/>
          <w:sz w:val="24"/>
          <w:szCs w:val="24"/>
          <w:highlight w:val="none"/>
        </w:rPr>
      </w:pPr>
      <w:r>
        <w:rPr>
          <w:rFonts w:hAnsi="宋体" w:cs="宋体"/>
          <w:b/>
          <w:bCs/>
          <w:sz w:val="24"/>
          <w:szCs w:val="24"/>
          <w:highlight w:val="none"/>
        </w:rPr>
        <w:t>4</w:t>
      </w:r>
      <w:r>
        <w:rPr>
          <w:rFonts w:hint="eastAsia" w:hAnsi="宋体" w:cs="宋体"/>
          <w:b/>
          <w:bCs/>
          <w:sz w:val="24"/>
          <w:szCs w:val="24"/>
          <w:highlight w:val="none"/>
        </w:rPr>
        <w:t>、维护报表</w:t>
      </w:r>
    </w:p>
    <w:p w14:paraId="439DB79C">
      <w:pPr>
        <w:pStyle w:val="5"/>
        <w:adjustRightInd w:val="0"/>
        <w:snapToGrid w:val="0"/>
        <w:spacing w:line="360" w:lineRule="auto"/>
        <w:ind w:firstLine="480" w:firstLineChars="200"/>
        <w:rPr>
          <w:rFonts w:hAnsi="宋体"/>
          <w:bCs/>
          <w:color w:val="000000"/>
          <w:sz w:val="24"/>
          <w:szCs w:val="24"/>
          <w:highlight w:val="none"/>
        </w:rPr>
      </w:pPr>
      <w:r>
        <w:rPr>
          <w:rFonts w:hAnsi="宋体"/>
          <w:bCs/>
          <w:color w:val="000000"/>
          <w:sz w:val="24"/>
          <w:szCs w:val="24"/>
          <w:highlight w:val="none"/>
        </w:rPr>
        <w:t>4</w:t>
      </w:r>
      <w:r>
        <w:rPr>
          <w:rFonts w:hint="eastAsia" w:hAnsi="宋体"/>
          <w:bCs/>
          <w:color w:val="000000"/>
          <w:sz w:val="24"/>
          <w:szCs w:val="24"/>
          <w:highlight w:val="none"/>
        </w:rPr>
        <w:t>.1系统性能监视、巡检报告。</w:t>
      </w:r>
    </w:p>
    <w:p w14:paraId="45A1C3F3">
      <w:pPr>
        <w:pStyle w:val="5"/>
        <w:adjustRightInd w:val="0"/>
        <w:snapToGrid w:val="0"/>
        <w:spacing w:line="360" w:lineRule="auto"/>
        <w:ind w:firstLine="480" w:firstLineChars="200"/>
        <w:rPr>
          <w:rFonts w:hAnsi="宋体"/>
          <w:bCs/>
          <w:color w:val="000000"/>
          <w:sz w:val="24"/>
          <w:szCs w:val="24"/>
          <w:highlight w:val="none"/>
        </w:rPr>
      </w:pPr>
      <w:r>
        <w:rPr>
          <w:rFonts w:hAnsi="宋体"/>
          <w:bCs/>
          <w:color w:val="000000"/>
          <w:sz w:val="24"/>
          <w:szCs w:val="24"/>
          <w:highlight w:val="none"/>
        </w:rPr>
        <w:t>4</w:t>
      </w:r>
      <w:r>
        <w:rPr>
          <w:rFonts w:hint="eastAsia" w:hAnsi="宋体"/>
          <w:bCs/>
          <w:color w:val="000000"/>
          <w:sz w:val="24"/>
          <w:szCs w:val="24"/>
          <w:highlight w:val="none"/>
        </w:rPr>
        <w:t>.2系统运维月报、年报。</w:t>
      </w:r>
    </w:p>
    <w:p w14:paraId="0CF1C52C">
      <w:pPr>
        <w:pStyle w:val="5"/>
        <w:adjustRightInd w:val="0"/>
        <w:snapToGrid w:val="0"/>
        <w:spacing w:line="360" w:lineRule="auto"/>
        <w:ind w:firstLine="480" w:firstLineChars="200"/>
        <w:rPr>
          <w:rFonts w:hAnsi="宋体"/>
          <w:bCs/>
          <w:color w:val="000000"/>
          <w:sz w:val="24"/>
          <w:szCs w:val="24"/>
          <w:highlight w:val="none"/>
        </w:rPr>
      </w:pPr>
      <w:r>
        <w:rPr>
          <w:rFonts w:hAnsi="宋体"/>
          <w:bCs/>
          <w:color w:val="000000"/>
          <w:sz w:val="24"/>
          <w:szCs w:val="24"/>
          <w:highlight w:val="none"/>
        </w:rPr>
        <w:t>4.3</w:t>
      </w:r>
      <w:r>
        <w:rPr>
          <w:rFonts w:hint="eastAsia" w:hAnsi="宋体"/>
          <w:bCs/>
          <w:color w:val="000000"/>
          <w:sz w:val="24"/>
          <w:szCs w:val="24"/>
          <w:highlight w:val="none"/>
        </w:rPr>
        <w:t>故障事件处理报告。</w:t>
      </w:r>
    </w:p>
    <w:p w14:paraId="40C84670">
      <w:pPr>
        <w:pStyle w:val="5"/>
        <w:adjustRightInd w:val="0"/>
        <w:snapToGrid w:val="0"/>
        <w:spacing w:line="360" w:lineRule="auto"/>
        <w:ind w:firstLine="480" w:firstLineChars="200"/>
        <w:rPr>
          <w:rFonts w:hAnsi="宋体"/>
          <w:bCs/>
          <w:color w:val="000000"/>
          <w:sz w:val="24"/>
          <w:szCs w:val="24"/>
          <w:highlight w:val="none"/>
        </w:rPr>
      </w:pPr>
      <w:r>
        <w:rPr>
          <w:rFonts w:hAnsi="宋体"/>
          <w:bCs/>
          <w:color w:val="000000"/>
          <w:sz w:val="24"/>
          <w:szCs w:val="24"/>
          <w:highlight w:val="none"/>
        </w:rPr>
        <w:t>4.4</w:t>
      </w:r>
      <w:r>
        <w:rPr>
          <w:rFonts w:hint="eastAsia" w:hAnsi="宋体"/>
          <w:bCs/>
          <w:color w:val="000000"/>
          <w:sz w:val="24"/>
          <w:szCs w:val="24"/>
          <w:highlight w:val="none"/>
        </w:rPr>
        <w:t>系统运行分析报告。</w:t>
      </w:r>
    </w:p>
    <w:p w14:paraId="047742A8">
      <w:pPr>
        <w:pStyle w:val="5"/>
        <w:adjustRightInd w:val="0"/>
        <w:snapToGrid w:val="0"/>
        <w:spacing w:line="360" w:lineRule="auto"/>
        <w:ind w:firstLine="480" w:firstLineChars="200"/>
        <w:rPr>
          <w:rFonts w:hAnsi="宋体"/>
          <w:bCs/>
          <w:color w:val="000000"/>
          <w:sz w:val="24"/>
          <w:szCs w:val="24"/>
          <w:highlight w:val="none"/>
        </w:rPr>
      </w:pPr>
      <w:r>
        <w:rPr>
          <w:rFonts w:hAnsi="宋体"/>
          <w:bCs/>
          <w:color w:val="000000"/>
          <w:sz w:val="24"/>
          <w:szCs w:val="24"/>
          <w:highlight w:val="none"/>
        </w:rPr>
        <w:t>4.5</w:t>
      </w:r>
      <w:r>
        <w:rPr>
          <w:rFonts w:hint="eastAsia" w:hAnsi="宋体"/>
          <w:bCs/>
          <w:color w:val="000000"/>
          <w:sz w:val="24"/>
          <w:szCs w:val="24"/>
          <w:highlight w:val="none"/>
        </w:rPr>
        <w:t>咨询服务报告。</w:t>
      </w:r>
    </w:p>
    <w:p w14:paraId="5D8D2751">
      <w:pPr>
        <w:pStyle w:val="5"/>
        <w:adjustRightInd w:val="0"/>
        <w:snapToGrid w:val="0"/>
        <w:spacing w:line="360" w:lineRule="auto"/>
        <w:ind w:firstLine="482" w:firstLineChars="200"/>
        <w:rPr>
          <w:rFonts w:hAnsi="宋体" w:cs="宋体"/>
          <w:b/>
          <w:bCs/>
          <w:sz w:val="24"/>
          <w:szCs w:val="24"/>
          <w:highlight w:val="none"/>
        </w:rPr>
      </w:pPr>
      <w:r>
        <w:rPr>
          <w:rFonts w:hAnsi="宋体" w:cs="宋体"/>
          <w:b/>
          <w:bCs/>
          <w:sz w:val="24"/>
          <w:szCs w:val="24"/>
          <w:highlight w:val="none"/>
        </w:rPr>
        <w:t>5</w:t>
      </w:r>
      <w:r>
        <w:rPr>
          <w:rFonts w:hint="eastAsia" w:hAnsi="宋体" w:cs="宋体"/>
          <w:b/>
          <w:bCs/>
          <w:sz w:val="24"/>
          <w:szCs w:val="24"/>
          <w:highlight w:val="none"/>
        </w:rPr>
        <w:t>、服务要求</w:t>
      </w:r>
    </w:p>
    <w:p w14:paraId="36916F56">
      <w:pPr>
        <w:pStyle w:val="5"/>
        <w:adjustRightInd w:val="0"/>
        <w:snapToGrid w:val="0"/>
        <w:spacing w:line="360" w:lineRule="auto"/>
        <w:ind w:firstLine="480" w:firstLineChars="200"/>
        <w:rPr>
          <w:rFonts w:hAnsi="宋体"/>
          <w:bCs/>
          <w:color w:val="000000"/>
          <w:sz w:val="24"/>
          <w:szCs w:val="24"/>
          <w:highlight w:val="none"/>
        </w:rPr>
      </w:pPr>
      <w:r>
        <w:rPr>
          <w:rFonts w:hAnsi="宋体"/>
          <w:bCs/>
          <w:color w:val="000000"/>
          <w:sz w:val="24"/>
          <w:szCs w:val="24"/>
          <w:highlight w:val="none"/>
        </w:rPr>
        <w:t>5.1</w:t>
      </w:r>
      <w:r>
        <w:rPr>
          <w:rFonts w:hint="eastAsia" w:hAnsi="宋体"/>
          <w:bCs/>
          <w:color w:val="000000"/>
          <w:sz w:val="24"/>
          <w:szCs w:val="24"/>
          <w:highlight w:val="none"/>
          <w:lang w:eastAsia="zh-CN"/>
        </w:rPr>
        <w:t>服务内容：</w:t>
      </w:r>
    </w:p>
    <w:p w14:paraId="029E48AE">
      <w:pPr>
        <w:spacing w:line="360" w:lineRule="auto"/>
        <w:ind w:firstLine="480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5.</w:t>
      </w:r>
      <w:r>
        <w:rPr>
          <w:rFonts w:ascii="宋体" w:hAnsi="宋体"/>
          <w:sz w:val="24"/>
          <w:highlight w:val="none"/>
        </w:rPr>
        <w:t>1</w:t>
      </w:r>
      <w:r>
        <w:rPr>
          <w:rFonts w:hint="eastAsia" w:ascii="宋体" w:hAnsi="宋体"/>
          <w:sz w:val="24"/>
          <w:highlight w:val="none"/>
        </w:rPr>
        <w:t>.</w:t>
      </w:r>
      <w:r>
        <w:rPr>
          <w:rFonts w:ascii="宋体" w:hAnsi="宋体"/>
          <w:sz w:val="24"/>
          <w:highlight w:val="none"/>
        </w:rPr>
        <w:t>1</w:t>
      </w:r>
      <w:r>
        <w:rPr>
          <w:rFonts w:hint="eastAsia" w:ascii="宋体" w:hAnsi="宋体"/>
          <w:sz w:val="24"/>
          <w:highlight w:val="none"/>
        </w:rPr>
        <w:t>维护公司负责设备常规保养性维护，基本数据设置，故障判定，系统软件各类补丁升级，与网络相连各类设备驱动程序安装或恢复性安装，新增设备程序安装，应用软件的跟踪服务性调试、安装，凡涉及硬件整机或另配件更新更换、软件系统升级或更新所引起的费用由使用单位负责，凡涉及应用权限、密码部分由使用方负责。</w:t>
      </w:r>
    </w:p>
    <w:p w14:paraId="6930432B">
      <w:pPr>
        <w:spacing w:line="360" w:lineRule="auto"/>
        <w:ind w:firstLine="480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5.</w:t>
      </w:r>
      <w:r>
        <w:rPr>
          <w:rFonts w:ascii="宋体" w:hAnsi="宋体"/>
          <w:sz w:val="24"/>
          <w:highlight w:val="none"/>
        </w:rPr>
        <w:t>1</w:t>
      </w:r>
      <w:r>
        <w:rPr>
          <w:rFonts w:hint="eastAsia" w:ascii="宋体" w:hAnsi="宋体"/>
          <w:sz w:val="24"/>
          <w:highlight w:val="none"/>
        </w:rPr>
        <w:t>.</w:t>
      </w:r>
      <w:r>
        <w:rPr>
          <w:rFonts w:ascii="宋体" w:hAnsi="宋体"/>
          <w:sz w:val="24"/>
          <w:highlight w:val="none"/>
        </w:rPr>
        <w:t>2</w:t>
      </w:r>
      <w:r>
        <w:rPr>
          <w:rFonts w:hint="eastAsia" w:ascii="宋体" w:hAnsi="宋体"/>
          <w:sz w:val="24"/>
          <w:highlight w:val="none"/>
        </w:rPr>
        <w:t>检修线路，对</w:t>
      </w:r>
      <w:r>
        <w:rPr>
          <w:rFonts w:hint="eastAsia" w:hAnsi="宋体"/>
          <w:bCs/>
          <w:color w:val="000000"/>
          <w:sz w:val="24"/>
          <w:szCs w:val="24"/>
          <w:highlight w:val="none"/>
          <w:lang w:val="en-US" w:eastAsia="zh-CN"/>
        </w:rPr>
        <w:t>数字化校园平台、班班通、校园广播系统、校园监控系统、信息发布屏、多媒体会议系统、校园电视台、录播教室、2间计算机教室、电子班牌、办公设备、校园网络系统、语言教室、智慧图书管理系统、一卡通、人员识别通道闸、模块化机房</w:t>
      </w:r>
      <w:r>
        <w:rPr>
          <w:rFonts w:hint="eastAsia" w:ascii="宋体" w:hAnsi="宋体"/>
          <w:sz w:val="24"/>
          <w:highlight w:val="none"/>
          <w:lang w:val="en-US" w:eastAsia="zh-CN"/>
        </w:rPr>
        <w:t>等</w:t>
      </w:r>
      <w:r>
        <w:rPr>
          <w:rFonts w:hint="eastAsia" w:ascii="宋体" w:hAnsi="宋体"/>
          <w:sz w:val="24"/>
          <w:highlight w:val="none"/>
        </w:rPr>
        <w:t>线路、连接端口、数据传输功能、配套的后端系统和设备等系统进行巡查维护和调试，确保其正常运行。</w:t>
      </w:r>
    </w:p>
    <w:p w14:paraId="3CABCE94">
      <w:pPr>
        <w:spacing w:line="360" w:lineRule="auto"/>
        <w:ind w:firstLine="480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5.</w:t>
      </w:r>
      <w:r>
        <w:rPr>
          <w:rFonts w:ascii="宋体" w:hAnsi="宋体"/>
          <w:sz w:val="24"/>
          <w:highlight w:val="none"/>
        </w:rPr>
        <w:t>1</w:t>
      </w:r>
      <w:r>
        <w:rPr>
          <w:rFonts w:hint="eastAsia" w:ascii="宋体" w:hAnsi="宋体"/>
          <w:sz w:val="24"/>
          <w:highlight w:val="none"/>
        </w:rPr>
        <w:t>.</w:t>
      </w:r>
      <w:r>
        <w:rPr>
          <w:rFonts w:ascii="宋体" w:hAnsi="宋体"/>
          <w:sz w:val="24"/>
          <w:highlight w:val="none"/>
        </w:rPr>
        <w:t>3</w:t>
      </w:r>
      <w:r>
        <w:rPr>
          <w:rFonts w:hint="eastAsia" w:ascii="宋体" w:hAnsi="宋体"/>
          <w:sz w:val="24"/>
          <w:highlight w:val="none"/>
        </w:rPr>
        <w:t>对所有网点设备（</w:t>
      </w:r>
      <w:r>
        <w:rPr>
          <w:rFonts w:hint="eastAsia" w:hAnsi="宋体"/>
          <w:bCs/>
          <w:color w:val="000000"/>
          <w:sz w:val="24"/>
          <w:szCs w:val="24"/>
          <w:highlight w:val="none"/>
          <w:lang w:val="en-US" w:eastAsia="zh-CN"/>
        </w:rPr>
        <w:t>数字化校园平台、班班通、校园广播系统、校园监控系统、信息发布屏、多媒体会议系统、校园电视台、录播教室、2间计算机教室、电子班牌、校园网络系统、语言教室、智慧图书管理系统、一卡通、人员识别通道闸、模块化机房</w:t>
      </w:r>
      <w:r>
        <w:rPr>
          <w:rFonts w:hint="eastAsia" w:ascii="宋体" w:hAnsi="宋体"/>
          <w:sz w:val="24"/>
          <w:highlight w:val="none"/>
        </w:rPr>
        <w:t>所有设备等）每月进行不少于1次的巡视检查和系统维护保养。</w:t>
      </w:r>
    </w:p>
    <w:p w14:paraId="08C90BD0">
      <w:pPr>
        <w:pStyle w:val="5"/>
        <w:adjustRightInd w:val="0"/>
        <w:snapToGrid w:val="0"/>
        <w:spacing w:line="360" w:lineRule="auto"/>
        <w:ind w:firstLine="480" w:firstLineChars="200"/>
        <w:rPr>
          <w:rFonts w:hAnsi="宋体"/>
          <w:bCs/>
          <w:color w:val="000000"/>
          <w:sz w:val="24"/>
          <w:szCs w:val="24"/>
          <w:highlight w:val="none"/>
        </w:rPr>
      </w:pPr>
      <w:r>
        <w:rPr>
          <w:rFonts w:hint="eastAsia" w:hAnsi="宋体"/>
          <w:bCs/>
          <w:color w:val="000000"/>
          <w:sz w:val="24"/>
          <w:szCs w:val="24"/>
          <w:highlight w:val="none"/>
          <w:lang w:val="en-US" w:eastAsia="zh-CN"/>
        </w:rPr>
        <w:t>5.</w:t>
      </w:r>
      <w:r>
        <w:rPr>
          <w:rFonts w:hAnsi="宋体"/>
          <w:bCs/>
          <w:color w:val="000000"/>
          <w:sz w:val="24"/>
          <w:szCs w:val="24"/>
          <w:highlight w:val="none"/>
          <w:lang w:val="en-US" w:eastAsia="zh-CN"/>
        </w:rPr>
        <w:t>1</w:t>
      </w:r>
      <w:r>
        <w:rPr>
          <w:rFonts w:hint="eastAsia" w:hAnsi="宋体"/>
          <w:bCs/>
          <w:color w:val="000000"/>
          <w:sz w:val="24"/>
          <w:szCs w:val="24"/>
          <w:highlight w:val="none"/>
          <w:lang w:val="en-US" w:eastAsia="zh-CN"/>
        </w:rPr>
        <w:t>.</w:t>
      </w:r>
      <w:r>
        <w:rPr>
          <w:rFonts w:hAnsi="宋体"/>
          <w:bCs/>
          <w:color w:val="000000"/>
          <w:sz w:val="24"/>
          <w:szCs w:val="24"/>
          <w:highlight w:val="none"/>
          <w:lang w:val="en-US" w:eastAsia="zh-CN"/>
        </w:rPr>
        <w:t>4</w:t>
      </w:r>
      <w:r>
        <w:rPr>
          <w:rFonts w:hint="eastAsia" w:hAnsi="宋体"/>
          <w:bCs/>
          <w:color w:val="000000"/>
          <w:sz w:val="24"/>
          <w:szCs w:val="24"/>
          <w:highlight w:val="none"/>
        </w:rPr>
        <w:t>配合</w:t>
      </w:r>
      <w:r>
        <w:rPr>
          <w:rFonts w:hint="eastAsia" w:hAnsi="宋体"/>
          <w:bCs/>
          <w:color w:val="000000"/>
          <w:sz w:val="24"/>
          <w:szCs w:val="24"/>
          <w:highlight w:val="none"/>
          <w:lang w:eastAsia="zh-CN"/>
        </w:rPr>
        <w:t>校</w:t>
      </w:r>
      <w:r>
        <w:rPr>
          <w:rFonts w:hint="eastAsia" w:hAnsi="宋体"/>
          <w:bCs/>
          <w:color w:val="000000"/>
          <w:sz w:val="24"/>
          <w:szCs w:val="24"/>
          <w:highlight w:val="none"/>
        </w:rPr>
        <w:t>方信息部门完成系统升级、变更、维护等工作，提供系统架构评估、合理化建议。</w:t>
      </w:r>
    </w:p>
    <w:p w14:paraId="48BCDAF0">
      <w:pPr>
        <w:pStyle w:val="5"/>
        <w:adjustRightInd w:val="0"/>
        <w:snapToGrid w:val="0"/>
        <w:spacing w:line="360" w:lineRule="auto"/>
        <w:ind w:firstLine="480" w:firstLineChars="200"/>
        <w:rPr>
          <w:rFonts w:hAnsi="宋体"/>
          <w:bCs/>
          <w:color w:val="000000"/>
          <w:sz w:val="24"/>
          <w:szCs w:val="24"/>
          <w:highlight w:val="none"/>
        </w:rPr>
      </w:pPr>
      <w:r>
        <w:rPr>
          <w:rFonts w:hint="eastAsia" w:hAnsi="宋体"/>
          <w:sz w:val="24"/>
          <w:szCs w:val="24"/>
          <w:highlight w:val="none"/>
          <w:lang w:eastAsia="zh-CN"/>
        </w:rPr>
        <w:t>5.</w:t>
      </w:r>
      <w:r>
        <w:rPr>
          <w:rFonts w:hAnsi="宋体"/>
          <w:sz w:val="24"/>
          <w:szCs w:val="24"/>
          <w:highlight w:val="none"/>
          <w:lang w:eastAsia="zh-CN"/>
        </w:rPr>
        <w:t>1</w:t>
      </w:r>
      <w:r>
        <w:rPr>
          <w:rFonts w:hint="eastAsia" w:hAnsi="宋体"/>
          <w:sz w:val="24"/>
          <w:szCs w:val="24"/>
          <w:highlight w:val="none"/>
          <w:lang w:eastAsia="zh-CN"/>
        </w:rPr>
        <w:t>.</w:t>
      </w:r>
      <w:r>
        <w:rPr>
          <w:rFonts w:hAnsi="宋体"/>
          <w:sz w:val="24"/>
          <w:szCs w:val="24"/>
          <w:highlight w:val="none"/>
          <w:lang w:eastAsia="zh-CN"/>
        </w:rPr>
        <w:t>5</w:t>
      </w:r>
      <w:r>
        <w:rPr>
          <w:rFonts w:hint="eastAsia" w:hAnsi="宋体"/>
          <w:sz w:val="24"/>
          <w:szCs w:val="24"/>
          <w:highlight w:val="none"/>
          <w:lang w:eastAsia="zh-CN"/>
        </w:rPr>
        <w:t>维护公司须对校方</w:t>
      </w:r>
      <w:r>
        <w:rPr>
          <w:rFonts w:hint="eastAsia" w:hAnsi="宋体"/>
          <w:sz w:val="24"/>
          <w:szCs w:val="24"/>
          <w:highlight w:val="none"/>
        </w:rPr>
        <w:t>广播设备、监控设备、班班通设备</w:t>
      </w:r>
      <w:r>
        <w:rPr>
          <w:rFonts w:hint="eastAsia" w:hAnsi="宋体"/>
          <w:sz w:val="24"/>
          <w:szCs w:val="24"/>
          <w:highlight w:val="none"/>
          <w:lang w:eastAsia="zh-CN"/>
        </w:rPr>
        <w:t>、</w:t>
      </w:r>
      <w:r>
        <w:rPr>
          <w:rFonts w:hint="eastAsia" w:hAnsi="宋体"/>
          <w:sz w:val="24"/>
          <w:szCs w:val="24"/>
          <w:highlight w:val="none"/>
          <w:lang w:val="en-US" w:eastAsia="zh-CN"/>
        </w:rPr>
        <w:t>信息发布屏、多媒体会议、云计算机等</w:t>
      </w:r>
      <w:r>
        <w:rPr>
          <w:rFonts w:hint="eastAsia" w:hAnsi="宋体"/>
          <w:sz w:val="24"/>
          <w:szCs w:val="24"/>
          <w:highlight w:val="none"/>
        </w:rPr>
        <w:t>操作人员进行相关培训工作</w:t>
      </w:r>
      <w:r>
        <w:rPr>
          <w:rFonts w:hint="eastAsia" w:hAnsi="宋体"/>
          <w:sz w:val="24"/>
          <w:szCs w:val="24"/>
          <w:highlight w:val="none"/>
          <w:lang w:eastAsia="zh-CN"/>
        </w:rPr>
        <w:t>。</w:t>
      </w:r>
    </w:p>
    <w:p w14:paraId="565366F2">
      <w:pPr>
        <w:pStyle w:val="5"/>
        <w:adjustRightInd w:val="0"/>
        <w:snapToGrid w:val="0"/>
        <w:spacing w:line="360" w:lineRule="auto"/>
        <w:ind w:firstLine="480" w:firstLineChars="200"/>
        <w:rPr>
          <w:rFonts w:hAnsi="宋体"/>
          <w:bCs/>
          <w:sz w:val="24"/>
          <w:szCs w:val="24"/>
          <w:highlight w:val="none"/>
        </w:rPr>
      </w:pPr>
      <w:r>
        <w:rPr>
          <w:rFonts w:hAnsi="宋体"/>
          <w:bCs/>
          <w:sz w:val="24"/>
          <w:szCs w:val="24"/>
          <w:highlight w:val="none"/>
        </w:rPr>
        <w:t>5.2</w:t>
      </w:r>
      <w:r>
        <w:rPr>
          <w:rFonts w:hint="eastAsia" w:hAnsi="宋体"/>
          <w:bCs/>
          <w:sz w:val="24"/>
          <w:szCs w:val="24"/>
          <w:highlight w:val="none"/>
        </w:rPr>
        <w:t>配合信息部门要求</w:t>
      </w:r>
      <w:r>
        <w:rPr>
          <w:rFonts w:hint="eastAsia" w:hAnsi="宋体"/>
          <w:bCs/>
          <w:sz w:val="24"/>
          <w:szCs w:val="24"/>
          <w:highlight w:val="none"/>
          <w:lang w:eastAsia="zh-CN"/>
        </w:rPr>
        <w:t>自带</w:t>
      </w:r>
      <w:r>
        <w:rPr>
          <w:rFonts w:hint="eastAsia" w:hAnsi="宋体"/>
          <w:bCs/>
          <w:sz w:val="24"/>
          <w:szCs w:val="24"/>
          <w:highlight w:val="none"/>
        </w:rPr>
        <w:t>运维工具一套。具备IT运维服务管理功能、IT资产管理功能、数据可视化报表定制化功能。</w:t>
      </w:r>
    </w:p>
    <w:p w14:paraId="6F5DAC56">
      <w:pPr>
        <w:pStyle w:val="5"/>
        <w:adjustRightInd w:val="0"/>
        <w:snapToGrid w:val="0"/>
        <w:spacing w:line="360" w:lineRule="auto"/>
        <w:ind w:firstLine="480" w:firstLineChars="200"/>
        <w:rPr>
          <w:rFonts w:hAnsi="宋体"/>
          <w:bCs/>
          <w:color w:val="000000"/>
          <w:sz w:val="24"/>
          <w:szCs w:val="24"/>
          <w:highlight w:val="none"/>
        </w:rPr>
      </w:pPr>
      <w:r>
        <w:rPr>
          <w:rFonts w:hAnsi="宋体"/>
          <w:bCs/>
          <w:color w:val="000000"/>
          <w:sz w:val="24"/>
          <w:szCs w:val="24"/>
          <w:highlight w:val="none"/>
        </w:rPr>
        <w:t>5.</w:t>
      </w:r>
      <w:r>
        <w:rPr>
          <w:rFonts w:hint="eastAsia" w:hAnsi="宋体"/>
          <w:bCs/>
          <w:color w:val="000000"/>
          <w:sz w:val="24"/>
          <w:szCs w:val="24"/>
          <w:highlight w:val="none"/>
        </w:rPr>
        <w:t>3建立维护团队，提交维护组织。</w:t>
      </w:r>
    </w:p>
    <w:p w14:paraId="00DA70EC">
      <w:pPr>
        <w:pStyle w:val="5"/>
        <w:adjustRightInd w:val="0"/>
        <w:snapToGrid w:val="0"/>
        <w:spacing w:line="360" w:lineRule="auto"/>
        <w:ind w:firstLine="480" w:firstLineChars="200"/>
        <w:rPr>
          <w:rFonts w:hint="eastAsia" w:hAnsi="宋体"/>
          <w:bCs/>
          <w:color w:val="000000"/>
          <w:sz w:val="24"/>
          <w:szCs w:val="24"/>
          <w:highlight w:val="none"/>
        </w:rPr>
      </w:pPr>
      <w:r>
        <w:rPr>
          <w:rFonts w:hAnsi="宋体"/>
          <w:bCs/>
          <w:color w:val="000000"/>
          <w:sz w:val="24"/>
          <w:szCs w:val="24"/>
          <w:highlight w:val="none"/>
        </w:rPr>
        <w:t>5.</w:t>
      </w:r>
      <w:r>
        <w:rPr>
          <w:rFonts w:hint="eastAsia" w:hAnsi="宋体"/>
          <w:bCs/>
          <w:color w:val="000000"/>
          <w:sz w:val="24"/>
          <w:szCs w:val="24"/>
          <w:highlight w:val="none"/>
        </w:rPr>
        <w:t>3</w:t>
      </w:r>
      <w:r>
        <w:rPr>
          <w:rFonts w:hAnsi="宋体"/>
          <w:bCs/>
          <w:color w:val="000000"/>
          <w:sz w:val="24"/>
          <w:szCs w:val="24"/>
          <w:highlight w:val="none"/>
        </w:rPr>
        <w:t>.1</w:t>
      </w:r>
      <w:r>
        <w:rPr>
          <w:rFonts w:hint="eastAsia" w:hAnsi="宋体"/>
          <w:bCs/>
          <w:color w:val="000000"/>
          <w:sz w:val="24"/>
          <w:szCs w:val="24"/>
          <w:highlight w:val="none"/>
        </w:rPr>
        <w:t>专业服务团队：维护项目需配备专业服务团队，配置专门客户经理、技术工程师、二线专家团队，以及设置其他相应管理岗位，本项目服务组织需指定适合该组织的职责、权力、责任和义务等。</w:t>
      </w:r>
    </w:p>
    <w:p w14:paraId="28C001C8">
      <w:pPr>
        <w:pStyle w:val="5"/>
        <w:adjustRightInd w:val="0"/>
        <w:snapToGrid w:val="0"/>
        <w:spacing w:line="360" w:lineRule="auto"/>
        <w:ind w:firstLine="480" w:firstLineChars="200"/>
        <w:rPr>
          <w:rFonts w:hint="eastAsia" w:hAnsi="宋体"/>
          <w:bCs/>
          <w:color w:val="000000"/>
          <w:sz w:val="24"/>
          <w:szCs w:val="24"/>
          <w:highlight w:val="none"/>
        </w:rPr>
      </w:pPr>
      <w:r>
        <w:rPr>
          <w:rFonts w:hint="eastAsia" w:ascii="Times New Roman" w:hAnsi="Times New Roman"/>
          <w:color w:val="000000"/>
          <w:sz w:val="24"/>
          <w:highlight w:val="none"/>
          <w:lang w:val="zh-CN"/>
        </w:rPr>
        <w:t>★</w:t>
      </w:r>
      <w:r>
        <w:rPr>
          <w:rFonts w:hAnsi="宋体"/>
          <w:bCs/>
          <w:color w:val="000000"/>
          <w:sz w:val="24"/>
          <w:szCs w:val="24"/>
          <w:highlight w:val="none"/>
        </w:rPr>
        <w:t>5.</w:t>
      </w:r>
      <w:r>
        <w:rPr>
          <w:rFonts w:hint="eastAsia" w:hAnsi="宋体"/>
          <w:bCs/>
          <w:color w:val="000000"/>
          <w:sz w:val="24"/>
          <w:szCs w:val="24"/>
          <w:highlight w:val="none"/>
        </w:rPr>
        <w:t>3</w:t>
      </w:r>
      <w:r>
        <w:rPr>
          <w:rFonts w:hAnsi="宋体"/>
          <w:bCs/>
          <w:color w:val="000000"/>
          <w:sz w:val="24"/>
          <w:szCs w:val="24"/>
          <w:highlight w:val="none"/>
        </w:rPr>
        <w:t>.2</w:t>
      </w:r>
      <w:r>
        <w:rPr>
          <w:rFonts w:hint="eastAsia" w:hAnsi="宋体"/>
          <w:bCs/>
          <w:color w:val="000000"/>
          <w:sz w:val="24"/>
          <w:szCs w:val="24"/>
          <w:highlight w:val="none"/>
          <w:lang w:val="en-US" w:eastAsia="zh-CN"/>
        </w:rPr>
        <w:t>驻场</w:t>
      </w:r>
      <w:r>
        <w:rPr>
          <w:rFonts w:hint="eastAsia" w:hAnsi="宋体"/>
          <w:bCs/>
          <w:color w:val="000000"/>
          <w:sz w:val="24"/>
          <w:szCs w:val="24"/>
          <w:highlight w:val="none"/>
          <w:lang w:eastAsia="zh-CN"/>
        </w:rPr>
        <w:t>人员服务</w:t>
      </w:r>
      <w:r>
        <w:rPr>
          <w:rFonts w:hint="eastAsia" w:hAnsi="宋体"/>
          <w:bCs/>
          <w:color w:val="000000"/>
          <w:sz w:val="24"/>
          <w:szCs w:val="24"/>
          <w:highlight w:val="none"/>
        </w:rPr>
        <w:t>：</w:t>
      </w:r>
      <w:r>
        <w:rPr>
          <w:rFonts w:hint="eastAsia" w:hAnsi="宋体"/>
          <w:bCs/>
          <w:color w:val="000000"/>
          <w:sz w:val="24"/>
          <w:szCs w:val="24"/>
          <w:highlight w:val="none"/>
          <w:lang w:eastAsia="zh-CN"/>
        </w:rPr>
        <w:t>指</w:t>
      </w:r>
      <w:r>
        <w:rPr>
          <w:rFonts w:hint="eastAsia" w:hAnsi="宋体"/>
          <w:bCs/>
          <w:color w:val="000000"/>
          <w:sz w:val="24"/>
          <w:szCs w:val="24"/>
          <w:highlight w:val="none"/>
        </w:rPr>
        <w:t>派</w:t>
      </w:r>
      <w:r>
        <w:rPr>
          <w:rFonts w:hint="eastAsia" w:hAnsi="宋体"/>
          <w:bCs/>
          <w:color w:val="000000"/>
          <w:sz w:val="24"/>
          <w:szCs w:val="24"/>
          <w:highlight w:val="none"/>
          <w:lang w:eastAsia="zh-CN"/>
        </w:rPr>
        <w:t>一名至少</w:t>
      </w:r>
      <w:r>
        <w:rPr>
          <w:rFonts w:hint="eastAsia" w:hAnsi="宋体"/>
          <w:bCs/>
          <w:color w:val="000000"/>
          <w:sz w:val="24"/>
          <w:szCs w:val="24"/>
          <w:highlight w:val="none"/>
        </w:rPr>
        <w:t>有</w:t>
      </w:r>
      <w:r>
        <w:rPr>
          <w:rFonts w:hAnsi="宋体"/>
          <w:bCs/>
          <w:color w:val="000000"/>
          <w:sz w:val="24"/>
          <w:szCs w:val="24"/>
          <w:highlight w:val="none"/>
        </w:rPr>
        <w:t>5</w:t>
      </w:r>
      <w:r>
        <w:rPr>
          <w:rFonts w:hint="eastAsia" w:hAnsi="宋体"/>
          <w:bCs/>
          <w:color w:val="000000"/>
          <w:sz w:val="24"/>
          <w:szCs w:val="24"/>
          <w:highlight w:val="none"/>
        </w:rPr>
        <w:t>年以上维护服务经验的工程师</w:t>
      </w:r>
      <w:r>
        <w:rPr>
          <w:rFonts w:hint="eastAsia" w:hAnsi="宋体"/>
          <w:bCs/>
          <w:color w:val="000000"/>
          <w:sz w:val="24"/>
          <w:szCs w:val="24"/>
          <w:highlight w:val="none"/>
          <w:lang w:eastAsia="zh-CN"/>
        </w:rPr>
        <w:t>提供</w:t>
      </w:r>
      <w:r>
        <w:rPr>
          <w:rFonts w:hint="eastAsia" w:hAnsi="宋体"/>
          <w:bCs/>
          <w:color w:val="000000"/>
          <w:sz w:val="24"/>
          <w:szCs w:val="24"/>
          <w:highlight w:val="none"/>
          <w:lang w:val="en-US" w:eastAsia="zh-CN"/>
        </w:rPr>
        <w:t>驻场</w:t>
      </w:r>
      <w:r>
        <w:rPr>
          <w:rFonts w:hint="eastAsia" w:hAnsi="宋体"/>
          <w:bCs/>
          <w:color w:val="000000"/>
          <w:sz w:val="24"/>
          <w:szCs w:val="24"/>
          <w:highlight w:val="none"/>
          <w:lang w:eastAsia="zh-CN"/>
        </w:rPr>
        <w:t>服务</w:t>
      </w:r>
      <w:r>
        <w:rPr>
          <w:rFonts w:hint="eastAsia" w:hAnsi="宋体"/>
          <w:bCs/>
          <w:color w:val="000000"/>
          <w:sz w:val="24"/>
          <w:szCs w:val="24"/>
          <w:highlight w:val="none"/>
        </w:rPr>
        <w:t>，负责完成日常的维护，所派工程师要求有</w:t>
      </w:r>
      <w:r>
        <w:rPr>
          <w:rFonts w:hint="eastAsia" w:hAnsi="宋体"/>
          <w:bCs/>
          <w:color w:val="000000"/>
          <w:sz w:val="24"/>
          <w:szCs w:val="24"/>
          <w:highlight w:val="none"/>
          <w:lang w:eastAsia="zh-CN"/>
        </w:rPr>
        <w:t>触控一体机</w:t>
      </w:r>
      <w:r>
        <w:rPr>
          <w:rFonts w:hint="eastAsia" w:hAnsi="宋体"/>
          <w:bCs/>
          <w:color w:val="000000"/>
          <w:sz w:val="24"/>
          <w:szCs w:val="24"/>
          <w:highlight w:val="none"/>
        </w:rPr>
        <w:t>、</w:t>
      </w:r>
      <w:r>
        <w:rPr>
          <w:rFonts w:hint="eastAsia" w:hAnsi="宋体"/>
          <w:bCs/>
          <w:color w:val="000000"/>
          <w:sz w:val="24"/>
          <w:szCs w:val="24"/>
          <w:highlight w:val="none"/>
          <w:lang w:eastAsia="zh-CN"/>
        </w:rPr>
        <w:t>网络交换机、服务器、监控、存储、显示设备</w:t>
      </w:r>
      <w:r>
        <w:rPr>
          <w:rFonts w:hint="eastAsia" w:hAnsi="宋体"/>
          <w:bCs/>
          <w:color w:val="000000"/>
          <w:sz w:val="24"/>
          <w:szCs w:val="24"/>
          <w:highlight w:val="none"/>
        </w:rPr>
        <w:t>和</w:t>
      </w:r>
      <w:r>
        <w:rPr>
          <w:rFonts w:hint="eastAsia" w:hAnsi="宋体"/>
          <w:bCs/>
          <w:color w:val="000000"/>
          <w:sz w:val="24"/>
          <w:szCs w:val="24"/>
          <w:highlight w:val="none"/>
          <w:lang w:eastAsia="zh-CN"/>
        </w:rPr>
        <w:t>广播</w:t>
      </w:r>
      <w:r>
        <w:rPr>
          <w:rFonts w:hint="eastAsia" w:hAnsi="宋体"/>
          <w:bCs/>
          <w:color w:val="000000"/>
          <w:sz w:val="24"/>
          <w:szCs w:val="24"/>
          <w:highlight w:val="none"/>
        </w:rPr>
        <w:t>等设备的基本维护技能。</w:t>
      </w:r>
    </w:p>
    <w:p w14:paraId="41831D89">
      <w:pPr>
        <w:pStyle w:val="5"/>
        <w:adjustRightInd w:val="0"/>
        <w:snapToGrid w:val="0"/>
        <w:spacing w:line="360" w:lineRule="auto"/>
        <w:ind w:firstLine="480" w:firstLineChars="200"/>
        <w:rPr>
          <w:rFonts w:hint="default" w:hAnsi="宋体"/>
          <w:bCs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/>
          <w:color w:val="000000"/>
          <w:sz w:val="24"/>
          <w:highlight w:val="none"/>
          <w:lang w:val="zh-CN"/>
        </w:rPr>
        <w:t>★</w:t>
      </w:r>
      <w:r>
        <w:rPr>
          <w:rFonts w:hAnsi="宋体"/>
          <w:bCs/>
          <w:color w:val="000000"/>
          <w:sz w:val="24"/>
          <w:szCs w:val="24"/>
          <w:highlight w:val="none"/>
        </w:rPr>
        <w:t>5.</w:t>
      </w:r>
      <w:r>
        <w:rPr>
          <w:rFonts w:hint="eastAsia" w:hAnsi="宋体"/>
          <w:bCs/>
          <w:color w:val="000000"/>
          <w:sz w:val="24"/>
          <w:szCs w:val="24"/>
          <w:highlight w:val="none"/>
        </w:rPr>
        <w:t>3</w:t>
      </w:r>
      <w:r>
        <w:rPr>
          <w:rFonts w:hAnsi="宋体"/>
          <w:bCs/>
          <w:color w:val="000000"/>
          <w:sz w:val="24"/>
          <w:szCs w:val="24"/>
          <w:highlight w:val="none"/>
        </w:rPr>
        <w:t>.</w:t>
      </w:r>
      <w:r>
        <w:rPr>
          <w:rFonts w:hint="eastAsia" w:hAnsi="宋体"/>
          <w:bCs/>
          <w:color w:val="000000"/>
          <w:sz w:val="24"/>
          <w:szCs w:val="24"/>
          <w:highlight w:val="none"/>
          <w:lang w:val="en-US" w:eastAsia="zh-CN"/>
        </w:rPr>
        <w:t>3拟派服务团队需至少具备1名信息系统项目工程师，提供证书复印件加盖公章证明。</w:t>
      </w:r>
    </w:p>
    <w:p w14:paraId="19A19BEB">
      <w:pPr>
        <w:pStyle w:val="5"/>
        <w:adjustRightInd w:val="0"/>
        <w:snapToGrid w:val="0"/>
        <w:spacing w:line="360" w:lineRule="auto"/>
        <w:ind w:firstLine="480" w:firstLineChars="200"/>
        <w:rPr>
          <w:rFonts w:hAnsi="宋体"/>
          <w:bCs/>
          <w:color w:val="000000"/>
          <w:sz w:val="24"/>
          <w:szCs w:val="24"/>
          <w:highlight w:val="none"/>
        </w:rPr>
      </w:pPr>
      <w:r>
        <w:rPr>
          <w:rFonts w:hAnsi="宋体"/>
          <w:bCs/>
          <w:color w:val="000000"/>
          <w:sz w:val="24"/>
          <w:szCs w:val="24"/>
          <w:highlight w:val="none"/>
        </w:rPr>
        <w:t>5.</w:t>
      </w:r>
      <w:r>
        <w:rPr>
          <w:rFonts w:hint="eastAsia" w:hAnsi="宋体"/>
          <w:bCs/>
          <w:color w:val="000000"/>
          <w:sz w:val="24"/>
          <w:szCs w:val="24"/>
          <w:highlight w:val="none"/>
        </w:rPr>
        <w:t>4</w:t>
      </w:r>
      <w:r>
        <w:rPr>
          <w:rFonts w:hAnsi="宋体"/>
          <w:bCs/>
          <w:color w:val="000000"/>
          <w:sz w:val="24"/>
          <w:szCs w:val="24"/>
          <w:highlight w:val="none"/>
        </w:rPr>
        <w:t xml:space="preserve"> </w:t>
      </w:r>
      <w:r>
        <w:rPr>
          <w:rFonts w:hint="eastAsia" w:hAnsi="宋体"/>
          <w:bCs/>
          <w:color w:val="000000"/>
          <w:sz w:val="24"/>
          <w:szCs w:val="24"/>
          <w:highlight w:val="none"/>
        </w:rPr>
        <w:t>运维服务管理体系咨询与设计</w:t>
      </w:r>
    </w:p>
    <w:p w14:paraId="64CC0A08">
      <w:pPr>
        <w:pStyle w:val="5"/>
        <w:adjustRightInd w:val="0"/>
        <w:snapToGrid w:val="0"/>
        <w:spacing w:line="360" w:lineRule="auto"/>
        <w:ind w:firstLine="480" w:firstLineChars="200"/>
        <w:rPr>
          <w:rFonts w:hAnsi="宋体"/>
          <w:sz w:val="24"/>
          <w:szCs w:val="24"/>
          <w:highlight w:val="none"/>
        </w:rPr>
      </w:pPr>
      <w:r>
        <w:rPr>
          <w:rFonts w:hAnsi="宋体"/>
          <w:bCs/>
          <w:color w:val="000000"/>
          <w:sz w:val="24"/>
          <w:szCs w:val="24"/>
          <w:highlight w:val="none"/>
        </w:rPr>
        <w:t>5.</w:t>
      </w:r>
      <w:r>
        <w:rPr>
          <w:rFonts w:hint="eastAsia" w:hAnsi="宋体"/>
          <w:bCs/>
          <w:color w:val="000000"/>
          <w:sz w:val="24"/>
          <w:szCs w:val="24"/>
          <w:highlight w:val="none"/>
        </w:rPr>
        <w:t>4</w:t>
      </w:r>
      <w:r>
        <w:rPr>
          <w:rFonts w:hAnsi="宋体"/>
          <w:bCs/>
          <w:color w:val="000000"/>
          <w:sz w:val="24"/>
          <w:szCs w:val="24"/>
          <w:highlight w:val="none"/>
        </w:rPr>
        <w:t xml:space="preserve">.1 </w:t>
      </w:r>
      <w:r>
        <w:rPr>
          <w:rFonts w:hint="eastAsia" w:hAnsi="宋体"/>
          <w:sz w:val="24"/>
          <w:szCs w:val="24"/>
          <w:highlight w:val="none"/>
        </w:rPr>
        <w:t>基于ISO20000、ISO27001、ITSS等标准和理念，梳理和设计适合</w:t>
      </w:r>
      <w:r>
        <w:rPr>
          <w:rFonts w:hint="eastAsia" w:hAnsi="宋体"/>
          <w:sz w:val="24"/>
          <w:szCs w:val="24"/>
          <w:highlight w:val="none"/>
          <w:lang w:eastAsia="zh-CN"/>
        </w:rPr>
        <w:t>学校</w:t>
      </w:r>
      <w:r>
        <w:rPr>
          <w:rFonts w:hint="eastAsia" w:hAnsi="宋体"/>
          <w:sz w:val="24"/>
          <w:szCs w:val="24"/>
          <w:highlight w:val="none"/>
        </w:rPr>
        <w:t>的运维服务的管理体系；</w:t>
      </w:r>
    </w:p>
    <w:p w14:paraId="0F525167">
      <w:pPr>
        <w:pStyle w:val="5"/>
        <w:adjustRightInd w:val="0"/>
        <w:snapToGrid w:val="0"/>
        <w:spacing w:line="360" w:lineRule="auto"/>
        <w:ind w:firstLine="480" w:firstLineChars="200"/>
        <w:rPr>
          <w:rFonts w:hAnsi="宋体"/>
          <w:bCs/>
          <w:color w:val="000000"/>
          <w:sz w:val="24"/>
          <w:szCs w:val="24"/>
          <w:highlight w:val="none"/>
        </w:rPr>
      </w:pPr>
      <w:r>
        <w:rPr>
          <w:rFonts w:hAnsi="宋体"/>
          <w:bCs/>
          <w:color w:val="000000"/>
          <w:sz w:val="24"/>
          <w:szCs w:val="24"/>
          <w:highlight w:val="none"/>
        </w:rPr>
        <w:t>5.</w:t>
      </w:r>
      <w:r>
        <w:rPr>
          <w:rFonts w:hint="eastAsia" w:hAnsi="宋体"/>
          <w:bCs/>
          <w:color w:val="000000"/>
          <w:sz w:val="24"/>
          <w:szCs w:val="24"/>
          <w:highlight w:val="none"/>
        </w:rPr>
        <w:t>4</w:t>
      </w:r>
      <w:r>
        <w:rPr>
          <w:rFonts w:hAnsi="宋体"/>
          <w:bCs/>
          <w:color w:val="000000"/>
          <w:sz w:val="24"/>
          <w:szCs w:val="24"/>
          <w:highlight w:val="none"/>
        </w:rPr>
        <w:t>.</w:t>
      </w:r>
      <w:r>
        <w:rPr>
          <w:rFonts w:hint="eastAsia" w:hAnsi="宋体"/>
          <w:bCs/>
          <w:color w:val="000000"/>
          <w:sz w:val="24"/>
          <w:szCs w:val="24"/>
          <w:highlight w:val="none"/>
          <w:lang w:val="en-US" w:eastAsia="zh-CN"/>
        </w:rPr>
        <w:t>2</w:t>
      </w:r>
      <w:r>
        <w:rPr>
          <w:rFonts w:hint="eastAsia" w:hAnsi="宋体"/>
          <w:bCs/>
          <w:color w:val="000000"/>
          <w:sz w:val="24"/>
          <w:szCs w:val="24"/>
          <w:highlight w:val="none"/>
        </w:rPr>
        <w:t>运维服务管理制度和规范梳理和设计；</w:t>
      </w:r>
    </w:p>
    <w:p w14:paraId="4C6C1250">
      <w:pPr>
        <w:pStyle w:val="5"/>
        <w:adjustRightInd w:val="0"/>
        <w:snapToGrid w:val="0"/>
        <w:spacing w:line="360" w:lineRule="auto"/>
        <w:ind w:firstLine="480" w:firstLineChars="200"/>
        <w:rPr>
          <w:rFonts w:hAnsi="宋体"/>
          <w:bCs/>
          <w:color w:val="000000"/>
          <w:sz w:val="24"/>
          <w:szCs w:val="24"/>
          <w:highlight w:val="none"/>
        </w:rPr>
      </w:pPr>
      <w:r>
        <w:rPr>
          <w:rFonts w:hAnsi="宋体"/>
          <w:bCs/>
          <w:color w:val="000000"/>
          <w:sz w:val="24"/>
          <w:szCs w:val="24"/>
          <w:highlight w:val="none"/>
        </w:rPr>
        <w:t>5.</w:t>
      </w:r>
      <w:r>
        <w:rPr>
          <w:rFonts w:hint="eastAsia" w:hAnsi="宋体"/>
          <w:bCs/>
          <w:color w:val="000000"/>
          <w:sz w:val="24"/>
          <w:szCs w:val="24"/>
          <w:highlight w:val="none"/>
        </w:rPr>
        <w:t>4</w:t>
      </w:r>
      <w:r>
        <w:rPr>
          <w:rFonts w:hAnsi="宋体"/>
          <w:bCs/>
          <w:color w:val="000000"/>
          <w:sz w:val="24"/>
          <w:szCs w:val="24"/>
          <w:highlight w:val="none"/>
        </w:rPr>
        <w:t>.</w:t>
      </w:r>
      <w:r>
        <w:rPr>
          <w:rFonts w:hint="eastAsia" w:hAnsi="宋体"/>
          <w:bCs/>
          <w:color w:val="000000"/>
          <w:sz w:val="24"/>
          <w:szCs w:val="24"/>
          <w:highlight w:val="none"/>
          <w:lang w:val="en-US" w:eastAsia="zh-CN"/>
        </w:rPr>
        <w:t>3</w:t>
      </w:r>
      <w:r>
        <w:rPr>
          <w:rFonts w:hAnsi="宋体"/>
          <w:bCs/>
          <w:color w:val="000000"/>
          <w:sz w:val="24"/>
          <w:szCs w:val="24"/>
          <w:highlight w:val="none"/>
        </w:rPr>
        <w:t xml:space="preserve"> </w:t>
      </w:r>
      <w:r>
        <w:rPr>
          <w:rFonts w:hint="eastAsia" w:hAnsi="宋体"/>
          <w:bCs/>
          <w:color w:val="000000"/>
          <w:sz w:val="24"/>
          <w:szCs w:val="24"/>
          <w:highlight w:val="none"/>
        </w:rPr>
        <w:t>运维服务管理流程设计（包括事件管理流程、问题管理流程、知识管理流程、计划任务管理等流程）；</w:t>
      </w:r>
    </w:p>
    <w:p w14:paraId="04FF0FC6">
      <w:pPr>
        <w:pStyle w:val="5"/>
        <w:adjustRightInd w:val="0"/>
        <w:snapToGrid w:val="0"/>
        <w:spacing w:line="360" w:lineRule="auto"/>
        <w:ind w:firstLine="480" w:firstLineChars="200"/>
        <w:rPr>
          <w:rFonts w:hAnsi="宋体"/>
          <w:bCs/>
          <w:color w:val="000000"/>
          <w:sz w:val="24"/>
          <w:szCs w:val="24"/>
          <w:highlight w:val="none"/>
        </w:rPr>
      </w:pPr>
      <w:r>
        <w:rPr>
          <w:rFonts w:hAnsi="宋体"/>
          <w:bCs/>
          <w:color w:val="000000"/>
          <w:sz w:val="24"/>
          <w:szCs w:val="24"/>
          <w:highlight w:val="none"/>
        </w:rPr>
        <w:t>5.</w:t>
      </w:r>
      <w:r>
        <w:rPr>
          <w:rFonts w:hint="eastAsia" w:hAnsi="宋体"/>
          <w:bCs/>
          <w:color w:val="000000"/>
          <w:sz w:val="24"/>
          <w:szCs w:val="24"/>
          <w:highlight w:val="none"/>
        </w:rPr>
        <w:t>4</w:t>
      </w:r>
      <w:r>
        <w:rPr>
          <w:rFonts w:hAnsi="宋体"/>
          <w:bCs/>
          <w:color w:val="000000"/>
          <w:sz w:val="24"/>
          <w:szCs w:val="24"/>
          <w:highlight w:val="none"/>
        </w:rPr>
        <w:t>.</w:t>
      </w:r>
      <w:r>
        <w:rPr>
          <w:rFonts w:hint="eastAsia" w:hAnsi="宋体"/>
          <w:bCs/>
          <w:color w:val="000000"/>
          <w:sz w:val="24"/>
          <w:szCs w:val="24"/>
          <w:highlight w:val="none"/>
          <w:lang w:val="en-US" w:eastAsia="zh-CN"/>
        </w:rPr>
        <w:t>4</w:t>
      </w:r>
      <w:r>
        <w:rPr>
          <w:rFonts w:hAnsi="宋体"/>
          <w:bCs/>
          <w:color w:val="000000"/>
          <w:sz w:val="24"/>
          <w:szCs w:val="24"/>
          <w:highlight w:val="none"/>
        </w:rPr>
        <w:t xml:space="preserve"> </w:t>
      </w:r>
      <w:r>
        <w:rPr>
          <w:rFonts w:hint="eastAsia" w:hAnsi="宋体"/>
          <w:bCs/>
          <w:color w:val="000000"/>
          <w:sz w:val="24"/>
          <w:szCs w:val="24"/>
          <w:highlight w:val="none"/>
        </w:rPr>
        <w:t>通过运维服务管理工具执行运维服务管理体系，并根据业务发展需要，持续改进运维体系。</w:t>
      </w:r>
    </w:p>
    <w:p w14:paraId="5273C3A7">
      <w:pPr>
        <w:pStyle w:val="3"/>
        <w:numPr>
          <w:ilvl w:val="1"/>
          <w:numId w:val="0"/>
        </w:numPr>
        <w:ind w:firstLine="482" w:firstLineChars="200"/>
        <w:rPr>
          <w:highlight w:val="none"/>
        </w:rPr>
      </w:pPr>
      <w:r>
        <w:rPr>
          <w:rFonts w:hint="eastAsia" w:ascii="宋体" w:hAnsi="宋体" w:eastAsia="宋体" w:cs="宋体"/>
          <w:b/>
          <w:sz w:val="24"/>
          <w:szCs w:val="24"/>
          <w:highlight w:val="none"/>
        </w:rPr>
        <w:t>6、运维工具指标要求</w:t>
      </w:r>
    </w:p>
    <w:p w14:paraId="1448BDC0">
      <w:pPr>
        <w:pStyle w:val="5"/>
        <w:adjustRightInd w:val="0"/>
        <w:snapToGrid w:val="0"/>
        <w:spacing w:line="360" w:lineRule="auto"/>
        <w:ind w:firstLine="480" w:firstLineChars="200"/>
        <w:rPr>
          <w:rFonts w:hAnsi="宋体"/>
          <w:bCs/>
          <w:color w:val="000000"/>
          <w:sz w:val="24"/>
          <w:szCs w:val="24"/>
          <w:highlight w:val="none"/>
        </w:rPr>
      </w:pPr>
      <w:r>
        <w:rPr>
          <w:rFonts w:hint="eastAsia" w:ascii="Times New Roman" w:hAnsi="Times New Roman"/>
          <w:color w:val="000000"/>
          <w:sz w:val="24"/>
          <w:highlight w:val="none"/>
          <w:lang w:val="zh-CN"/>
        </w:rPr>
        <w:t>★</w:t>
      </w:r>
      <w:r>
        <w:rPr>
          <w:rFonts w:hint="eastAsia" w:hAnsi="宋体"/>
          <w:bCs/>
          <w:color w:val="000000"/>
          <w:sz w:val="24"/>
          <w:szCs w:val="24"/>
          <w:highlight w:val="none"/>
        </w:rPr>
        <w:t>投标人</w:t>
      </w:r>
      <w:r>
        <w:rPr>
          <w:rFonts w:hint="eastAsia" w:hAnsi="宋体"/>
          <w:bCs/>
          <w:color w:val="000000"/>
          <w:sz w:val="24"/>
          <w:szCs w:val="24"/>
          <w:highlight w:val="none"/>
          <w:lang w:eastAsia="zh-CN"/>
        </w:rPr>
        <w:t>须自带</w:t>
      </w:r>
      <w:r>
        <w:rPr>
          <w:rFonts w:hint="eastAsia" w:hAnsi="宋体"/>
          <w:bCs/>
          <w:color w:val="000000"/>
          <w:sz w:val="24"/>
          <w:szCs w:val="24"/>
          <w:highlight w:val="none"/>
        </w:rPr>
        <w:t>一套运维管理工具。系统采用B/S架构支持本地化部署，支持SAAS云化部署，提供</w:t>
      </w:r>
      <w:r>
        <w:rPr>
          <w:rFonts w:hint="eastAsia" w:hAnsi="宋体"/>
          <w:bCs/>
          <w:color w:val="000000"/>
          <w:sz w:val="24"/>
          <w:szCs w:val="24"/>
          <w:highlight w:val="none"/>
          <w:lang w:eastAsia="zh-CN"/>
        </w:rPr>
        <w:t>移动端应用。</w:t>
      </w:r>
    </w:p>
    <w:p w14:paraId="24C900BB">
      <w:pPr>
        <w:pStyle w:val="5"/>
        <w:adjustRightInd w:val="0"/>
        <w:snapToGrid w:val="0"/>
        <w:spacing w:line="360" w:lineRule="auto"/>
        <w:ind w:firstLine="720" w:firstLineChars="300"/>
        <w:rPr>
          <w:rFonts w:hAnsi="宋体"/>
          <w:bCs/>
          <w:color w:val="000000"/>
          <w:sz w:val="24"/>
          <w:szCs w:val="24"/>
          <w:highlight w:val="none"/>
        </w:rPr>
      </w:pPr>
      <w:r>
        <w:rPr>
          <w:rFonts w:hint="eastAsia" w:hAnsi="宋体"/>
          <w:bCs/>
          <w:color w:val="000000"/>
          <w:sz w:val="24"/>
          <w:szCs w:val="24"/>
          <w:highlight w:val="none"/>
        </w:rPr>
        <w:t>运维管理工具业务功能要求：</w:t>
      </w:r>
      <w:r>
        <w:rPr>
          <w:rFonts w:hAnsi="宋体"/>
          <w:bCs/>
          <w:color w:val="000000"/>
          <w:sz w:val="24"/>
          <w:szCs w:val="24"/>
          <w:highlight w:val="none"/>
        </w:rPr>
        <w:t xml:space="preserve"> </w:t>
      </w:r>
    </w:p>
    <w:p w14:paraId="0D8CD4A1">
      <w:pPr>
        <w:pStyle w:val="5"/>
        <w:adjustRightInd w:val="0"/>
        <w:snapToGrid w:val="0"/>
        <w:spacing w:line="360" w:lineRule="auto"/>
        <w:ind w:firstLine="480" w:firstLineChars="200"/>
        <w:rPr>
          <w:rFonts w:hAnsi="宋体"/>
          <w:bCs/>
          <w:color w:val="000000"/>
          <w:sz w:val="24"/>
          <w:szCs w:val="24"/>
          <w:highlight w:val="none"/>
        </w:rPr>
      </w:pPr>
      <w:r>
        <w:rPr>
          <w:rFonts w:hAnsi="宋体"/>
          <w:bCs/>
          <w:color w:val="000000"/>
          <w:sz w:val="24"/>
          <w:szCs w:val="24"/>
          <w:highlight w:val="none"/>
        </w:rPr>
        <w:t>1</w:t>
      </w:r>
      <w:r>
        <w:rPr>
          <w:rFonts w:hint="eastAsia" w:hAnsi="宋体"/>
          <w:bCs/>
          <w:color w:val="000000"/>
          <w:sz w:val="24"/>
          <w:szCs w:val="24"/>
          <w:highlight w:val="none"/>
        </w:rPr>
        <w:t>）、事件管理：支持用户自主创建事件，或服务台、运维人员创建事件；对事件的处理过程进行管控，支持事件满意度调查分析，实现多维度的事件报表分析。支持按合同结算或按事件单据结算；</w:t>
      </w:r>
    </w:p>
    <w:p w14:paraId="64A21F48">
      <w:pPr>
        <w:pStyle w:val="5"/>
        <w:adjustRightInd w:val="0"/>
        <w:snapToGrid w:val="0"/>
        <w:spacing w:line="360" w:lineRule="auto"/>
        <w:ind w:firstLine="480" w:firstLineChars="200"/>
        <w:rPr>
          <w:rFonts w:hAnsi="宋体"/>
          <w:bCs/>
          <w:color w:val="000000"/>
          <w:sz w:val="24"/>
          <w:szCs w:val="24"/>
          <w:highlight w:val="none"/>
        </w:rPr>
      </w:pPr>
      <w:r>
        <w:rPr>
          <w:rFonts w:hAnsi="宋体"/>
          <w:bCs/>
          <w:color w:val="000000"/>
          <w:sz w:val="24"/>
          <w:szCs w:val="24"/>
          <w:highlight w:val="none"/>
        </w:rPr>
        <w:t>2</w:t>
      </w:r>
      <w:r>
        <w:rPr>
          <w:rFonts w:hint="eastAsia" w:hAnsi="宋体"/>
          <w:bCs/>
          <w:color w:val="000000"/>
          <w:sz w:val="24"/>
          <w:szCs w:val="24"/>
          <w:highlight w:val="none"/>
        </w:rPr>
        <w:t>）、问题管理：管理运维过程中出现的相关问题，包括事件升级的问题或手工录入的问题；</w:t>
      </w:r>
    </w:p>
    <w:p w14:paraId="52C8FD0D">
      <w:pPr>
        <w:pStyle w:val="5"/>
        <w:adjustRightInd w:val="0"/>
        <w:snapToGrid w:val="0"/>
        <w:spacing w:line="360" w:lineRule="auto"/>
        <w:ind w:firstLine="480" w:firstLineChars="200"/>
        <w:rPr>
          <w:rFonts w:hAnsi="宋体"/>
          <w:bCs/>
          <w:color w:val="000000"/>
          <w:sz w:val="24"/>
          <w:szCs w:val="24"/>
          <w:highlight w:val="none"/>
        </w:rPr>
      </w:pPr>
      <w:r>
        <w:rPr>
          <w:rFonts w:hAnsi="宋体"/>
          <w:bCs/>
          <w:color w:val="000000"/>
          <w:sz w:val="24"/>
          <w:szCs w:val="24"/>
          <w:highlight w:val="none"/>
        </w:rPr>
        <w:t>3</w:t>
      </w:r>
      <w:r>
        <w:rPr>
          <w:rFonts w:hint="eastAsia" w:hAnsi="宋体"/>
          <w:bCs/>
          <w:color w:val="000000"/>
          <w:sz w:val="24"/>
          <w:szCs w:val="24"/>
          <w:highlight w:val="none"/>
        </w:rPr>
        <w:t xml:space="preserve">）、巡检管理：制定巡检计划，汇总相关巡检报告，统计巡检计划完成情况和相关巡检问题； </w:t>
      </w:r>
    </w:p>
    <w:p w14:paraId="026C9D0E">
      <w:pPr>
        <w:pStyle w:val="5"/>
        <w:adjustRightInd w:val="0"/>
        <w:snapToGrid w:val="0"/>
        <w:spacing w:line="360" w:lineRule="auto"/>
        <w:ind w:firstLine="480" w:firstLineChars="200"/>
        <w:rPr>
          <w:rFonts w:hAnsi="宋体"/>
          <w:bCs/>
          <w:sz w:val="24"/>
          <w:szCs w:val="24"/>
          <w:highlight w:val="none"/>
        </w:rPr>
      </w:pPr>
      <w:r>
        <w:rPr>
          <w:rFonts w:hint="eastAsia" w:ascii="Times New Roman" w:hAnsi="Times New Roman"/>
          <w:color w:val="000000"/>
          <w:sz w:val="24"/>
          <w:highlight w:val="none"/>
          <w:lang w:val="zh-CN"/>
        </w:rPr>
        <w:t>★</w:t>
      </w:r>
      <w:r>
        <w:rPr>
          <w:rFonts w:hAnsi="宋体"/>
          <w:bCs/>
          <w:sz w:val="24"/>
          <w:szCs w:val="24"/>
          <w:highlight w:val="none"/>
        </w:rPr>
        <w:t>4</w:t>
      </w:r>
      <w:r>
        <w:rPr>
          <w:rFonts w:hint="eastAsia" w:hAnsi="宋体"/>
          <w:bCs/>
          <w:sz w:val="24"/>
          <w:szCs w:val="24"/>
          <w:highlight w:val="none"/>
        </w:rPr>
        <w:t>）、知识库管理：建立知识库，通过引用知识库，快速解决事件、问题。可以利用碎片时间查阅、学习知识库条目，并进行评分、评价；</w:t>
      </w:r>
      <w:r>
        <w:rPr>
          <w:rFonts w:hint="eastAsia" w:hAnsi="宋体"/>
          <w:bCs/>
          <w:sz w:val="24"/>
          <w:szCs w:val="24"/>
          <w:highlight w:val="none"/>
          <w:lang w:eastAsia="zh-CN"/>
        </w:rPr>
        <w:t>（提供功能截图）</w:t>
      </w:r>
    </w:p>
    <w:p w14:paraId="3A442421">
      <w:pPr>
        <w:pStyle w:val="5"/>
        <w:adjustRightInd w:val="0"/>
        <w:snapToGrid w:val="0"/>
        <w:spacing w:line="360" w:lineRule="auto"/>
        <w:ind w:firstLine="480" w:firstLineChars="200"/>
        <w:rPr>
          <w:rFonts w:hAnsi="宋体"/>
          <w:bCs/>
          <w:sz w:val="24"/>
          <w:szCs w:val="24"/>
          <w:highlight w:val="none"/>
        </w:rPr>
      </w:pPr>
      <w:r>
        <w:rPr>
          <w:rFonts w:hAnsi="宋体"/>
          <w:bCs/>
          <w:sz w:val="24"/>
          <w:szCs w:val="24"/>
          <w:highlight w:val="none"/>
        </w:rPr>
        <w:t>5</w:t>
      </w:r>
      <w:r>
        <w:rPr>
          <w:rFonts w:hint="eastAsia" w:hAnsi="宋体"/>
          <w:bCs/>
          <w:sz w:val="24"/>
          <w:szCs w:val="24"/>
          <w:highlight w:val="none"/>
        </w:rPr>
        <w:t>）、服务管理：包括服务商档案管理、服务合同管理、服务目录、服务协议管理、运维排班管理、满意度管理；</w:t>
      </w:r>
    </w:p>
    <w:p w14:paraId="6353A298">
      <w:pPr>
        <w:pStyle w:val="5"/>
        <w:adjustRightInd w:val="0"/>
        <w:snapToGrid w:val="0"/>
        <w:spacing w:line="360" w:lineRule="auto"/>
        <w:ind w:firstLine="480" w:firstLineChars="200"/>
        <w:rPr>
          <w:rFonts w:hint="eastAsia" w:hAnsi="宋体"/>
          <w:bCs/>
          <w:sz w:val="24"/>
          <w:szCs w:val="24"/>
          <w:highlight w:val="none"/>
        </w:rPr>
      </w:pPr>
      <w:r>
        <w:rPr>
          <w:rFonts w:hAnsi="宋体"/>
          <w:bCs/>
          <w:sz w:val="24"/>
          <w:szCs w:val="24"/>
          <w:highlight w:val="none"/>
        </w:rPr>
        <w:t>6</w:t>
      </w:r>
      <w:r>
        <w:rPr>
          <w:rFonts w:hint="eastAsia" w:hAnsi="宋体"/>
          <w:bCs/>
          <w:sz w:val="24"/>
          <w:szCs w:val="24"/>
          <w:highlight w:val="none"/>
        </w:rPr>
        <w:t>）、资产管理：支持仓库管理、资产类别、资产品牌、供应商管理，支持建立资产台账，并对资产进行全生命周期管理，包括资产入库、出库、归还、调拨、盘点、维修、报废。支持资产二维码管理；</w:t>
      </w:r>
    </w:p>
    <w:p w14:paraId="17FE8EC3">
      <w:pPr>
        <w:pStyle w:val="5"/>
        <w:adjustRightInd w:val="0"/>
        <w:snapToGrid w:val="0"/>
        <w:spacing w:line="360" w:lineRule="auto"/>
        <w:ind w:firstLine="480" w:firstLineChars="200"/>
        <w:rPr>
          <w:rFonts w:hAnsi="宋体"/>
          <w:bCs/>
          <w:color w:val="000000"/>
          <w:sz w:val="24"/>
          <w:szCs w:val="24"/>
          <w:highlight w:val="none"/>
        </w:rPr>
      </w:pPr>
      <w:r>
        <w:rPr>
          <w:rFonts w:hAnsi="宋体"/>
          <w:bCs/>
          <w:color w:val="000000"/>
          <w:sz w:val="24"/>
          <w:szCs w:val="24"/>
          <w:highlight w:val="none"/>
        </w:rPr>
        <w:t>7</w:t>
      </w:r>
      <w:r>
        <w:rPr>
          <w:rFonts w:hint="eastAsia" w:hAnsi="宋体"/>
          <w:bCs/>
          <w:color w:val="000000"/>
          <w:sz w:val="24"/>
          <w:szCs w:val="24"/>
          <w:highlight w:val="none"/>
        </w:rPr>
        <w:t>）、</w:t>
      </w:r>
      <w:r>
        <w:rPr>
          <w:rFonts w:hint="eastAsia" w:hAnsi="宋体"/>
          <w:bCs/>
          <w:color w:val="000000"/>
          <w:sz w:val="24"/>
          <w:szCs w:val="24"/>
          <w:highlight w:val="none"/>
          <w:lang w:eastAsia="zh-CN"/>
        </w:rPr>
        <w:t>移动端</w:t>
      </w:r>
      <w:r>
        <w:rPr>
          <w:rFonts w:hint="eastAsia" w:hAnsi="宋体"/>
          <w:bCs/>
          <w:color w:val="000000"/>
          <w:sz w:val="24"/>
          <w:szCs w:val="24"/>
          <w:highlight w:val="none"/>
        </w:rPr>
        <w:t>：通过</w:t>
      </w:r>
      <w:r>
        <w:rPr>
          <w:rFonts w:hint="eastAsia" w:hAnsi="宋体"/>
          <w:bCs/>
          <w:color w:val="000000"/>
          <w:sz w:val="24"/>
          <w:szCs w:val="24"/>
          <w:highlight w:val="none"/>
          <w:lang w:eastAsia="zh-CN"/>
        </w:rPr>
        <w:t>企业微信对接</w:t>
      </w:r>
      <w:r>
        <w:rPr>
          <w:rFonts w:hint="eastAsia" w:hAnsi="宋体"/>
          <w:bCs/>
          <w:color w:val="000000"/>
          <w:sz w:val="24"/>
          <w:szCs w:val="24"/>
          <w:highlight w:val="none"/>
        </w:rPr>
        <w:t>，主要功能包括事件、巡检、通讯录、知识库、</w:t>
      </w:r>
      <w:r>
        <w:rPr>
          <w:rFonts w:hint="eastAsia" w:hAnsi="宋体"/>
          <w:bCs/>
          <w:color w:val="000000"/>
          <w:sz w:val="24"/>
          <w:szCs w:val="24"/>
          <w:highlight w:val="none"/>
          <w:lang w:eastAsia="zh-CN"/>
        </w:rPr>
        <w:t>等应用</w:t>
      </w:r>
      <w:r>
        <w:rPr>
          <w:rFonts w:hint="eastAsia" w:hAnsi="宋体"/>
          <w:bCs/>
          <w:color w:val="000000"/>
          <w:sz w:val="24"/>
          <w:szCs w:val="24"/>
          <w:highlight w:val="none"/>
        </w:rPr>
        <w:t>。</w:t>
      </w:r>
    </w:p>
    <w:p w14:paraId="5610B5D6">
      <w:pPr>
        <w:pStyle w:val="5"/>
        <w:adjustRightInd w:val="0"/>
        <w:snapToGrid w:val="0"/>
        <w:spacing w:line="360" w:lineRule="auto"/>
        <w:ind w:firstLine="480" w:firstLineChars="200"/>
        <w:rPr>
          <w:rFonts w:hAnsi="宋体"/>
          <w:bCs/>
          <w:color w:val="000000"/>
          <w:sz w:val="24"/>
          <w:szCs w:val="24"/>
          <w:highlight w:val="none"/>
        </w:rPr>
      </w:pPr>
      <w:r>
        <w:rPr>
          <w:rFonts w:hint="eastAsia" w:hAnsi="宋体"/>
          <w:bCs/>
          <w:color w:val="000000"/>
          <w:sz w:val="24"/>
          <w:szCs w:val="24"/>
          <w:highlight w:val="none"/>
          <w:lang w:eastAsia="zh-CN"/>
        </w:rPr>
        <w:t>8）、</w:t>
      </w:r>
      <w:r>
        <w:rPr>
          <w:rFonts w:hint="eastAsia" w:hAnsi="宋体"/>
          <w:bCs/>
          <w:color w:val="000000"/>
          <w:sz w:val="24"/>
          <w:szCs w:val="24"/>
          <w:highlight w:val="none"/>
        </w:rPr>
        <w:t>登录系统后，可以通过扫描资产二维码查询资产信息和状态。查询事件列表和待办事件，并对相关事件进行处理。可以查询巡检计划和巡检单据，并通过扫描资产二维码记录到相关巡检单中。</w:t>
      </w:r>
    </w:p>
    <w:p w14:paraId="77FDA22C">
      <w:pPr>
        <w:pStyle w:val="5"/>
        <w:adjustRightInd w:val="0"/>
        <w:snapToGrid w:val="0"/>
        <w:spacing w:line="360" w:lineRule="auto"/>
        <w:ind w:firstLine="480" w:firstLineChars="200"/>
        <w:rPr>
          <w:rFonts w:hAnsi="宋体"/>
          <w:bCs/>
          <w:color w:val="000000"/>
          <w:sz w:val="24"/>
          <w:szCs w:val="24"/>
          <w:highlight w:val="none"/>
        </w:rPr>
      </w:pPr>
      <w:r>
        <w:rPr>
          <w:rFonts w:hint="eastAsia" w:ascii="Times New Roman" w:hAnsi="Times New Roman"/>
          <w:color w:val="000000"/>
          <w:sz w:val="24"/>
          <w:highlight w:val="none"/>
          <w:lang w:val="zh-CN"/>
        </w:rPr>
        <w:t>★</w:t>
      </w:r>
      <w:r>
        <w:rPr>
          <w:rFonts w:hint="eastAsia" w:hAnsi="宋体"/>
          <w:bCs/>
          <w:color w:val="000000"/>
          <w:sz w:val="24"/>
          <w:szCs w:val="24"/>
          <w:highlight w:val="none"/>
        </w:rPr>
        <w:t>9）、统计分析：汇总各类运维数据，进行统计分析。包括运维管理综合分析、事件解决率分析、运维人员绩效分析、知识库条目统计分析等，同时管控相关异常数据。支持首页统一展现运维管理和资产管理数据。</w:t>
      </w:r>
      <w:r>
        <w:rPr>
          <w:rFonts w:hint="eastAsia" w:hAnsi="宋体"/>
          <w:bCs/>
          <w:color w:val="000000"/>
          <w:sz w:val="24"/>
          <w:szCs w:val="24"/>
          <w:highlight w:val="none"/>
          <w:lang w:eastAsia="zh-CN"/>
        </w:rPr>
        <w:t>（提供功能截图）</w:t>
      </w:r>
    </w:p>
    <w:p w14:paraId="03C34998">
      <w:pPr>
        <w:pStyle w:val="3"/>
        <w:numPr>
          <w:ilvl w:val="1"/>
          <w:numId w:val="0"/>
        </w:numPr>
        <w:ind w:firstLine="482" w:firstLineChars="200"/>
        <w:rPr>
          <w:rFonts w:ascii="宋体" w:hAnsi="宋体" w:eastAsia="宋体" w:cs="宋体"/>
          <w:b/>
          <w:sz w:val="24"/>
          <w:szCs w:val="24"/>
          <w:highlight w:val="none"/>
        </w:rPr>
      </w:pPr>
      <w:r>
        <w:rPr>
          <w:rFonts w:ascii="宋体" w:hAnsi="宋体" w:eastAsia="宋体" w:cs="宋体"/>
          <w:b/>
          <w:sz w:val="24"/>
          <w:szCs w:val="24"/>
          <w:highlight w:val="none"/>
        </w:rPr>
        <w:t>7</w:t>
      </w:r>
      <w:r>
        <w:rPr>
          <w:rFonts w:hint="eastAsia" w:ascii="宋体" w:hAnsi="宋体" w:eastAsia="宋体" w:cs="宋体"/>
          <w:b/>
          <w:sz w:val="24"/>
          <w:szCs w:val="24"/>
          <w:highlight w:val="none"/>
        </w:rPr>
        <w:t>、维保服务计费方式</w:t>
      </w:r>
    </w:p>
    <w:p w14:paraId="1ABFF384">
      <w:pPr>
        <w:spacing w:line="480" w:lineRule="exact"/>
        <w:ind w:firstLine="480" w:firstLineChars="200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采取承包维护保养服务方式。即定额支付人力成本费；维护中</w:t>
      </w:r>
      <w:r>
        <w:rPr>
          <w:rFonts w:hint="eastAsia" w:ascii="宋体" w:hAnsi="宋体"/>
          <w:sz w:val="24"/>
          <w:highlight w:val="none"/>
          <w:lang w:val="en-US" w:eastAsia="zh-CN"/>
        </w:rPr>
        <w:t>设备零部件更换维修、软件升级服务、线路开挖维修、监控移位维修</w:t>
      </w:r>
      <w:r>
        <w:rPr>
          <w:rFonts w:hint="eastAsia" w:ascii="宋体" w:hAnsi="宋体"/>
          <w:sz w:val="24"/>
          <w:highlight w:val="none"/>
        </w:rPr>
        <w:t>另外单独计费，常用备品备件投标人按以下配件更换表报价，服务期内如需更换按此单价结算。</w:t>
      </w:r>
    </w:p>
    <w:p w14:paraId="1FFF034E">
      <w:pPr>
        <w:spacing w:line="480" w:lineRule="exact"/>
        <w:ind w:firstLine="480" w:firstLineChars="200"/>
        <w:rPr>
          <w:rFonts w:ascii="宋体" w:hAnsi="宋体"/>
          <w:b/>
          <w:bCs/>
          <w:sz w:val="24"/>
          <w:highlight w:val="none"/>
        </w:rPr>
      </w:pPr>
      <w:r>
        <w:rPr>
          <w:rFonts w:hint="eastAsia" w:ascii="宋体" w:hAnsi="宋体"/>
          <w:sz w:val="24"/>
          <w:highlight w:val="none"/>
          <w:lang w:val="en-US" w:eastAsia="zh-CN"/>
        </w:rPr>
        <w:t>运维技术</w:t>
      </w:r>
      <w:r>
        <w:rPr>
          <w:rFonts w:hint="eastAsia" w:ascii="宋体" w:hAnsi="宋体"/>
          <w:sz w:val="24"/>
          <w:highlight w:val="none"/>
        </w:rPr>
        <w:t>服务报价：</w:t>
      </w:r>
    </w:p>
    <w:tbl>
      <w:tblPr>
        <w:tblStyle w:val="9"/>
        <w:tblW w:w="9172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4"/>
        <w:gridCol w:w="1461"/>
        <w:gridCol w:w="3428"/>
        <w:gridCol w:w="663"/>
        <w:gridCol w:w="770"/>
        <w:gridCol w:w="1112"/>
        <w:gridCol w:w="1164"/>
      </w:tblGrid>
      <w:tr w14:paraId="0B703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22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3C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系统内容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FD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维护方式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7E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4E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B9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单价(元)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76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金额（元）</w:t>
            </w:r>
          </w:p>
        </w:tc>
      </w:tr>
      <w:tr w14:paraId="10E7D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38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DE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运维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1AD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1名资深工程师驻场技术服务、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数字化校园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各系统日常检查、技术维护、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系统评估优化、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高考等大型活动全天技术保障服务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后台公司全面的技术支撑服务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13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A2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37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07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12059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68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C2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45B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A5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</w:tbl>
    <w:p w14:paraId="01F0E8F4">
      <w:pPr>
        <w:rPr>
          <w:highlight w:val="none"/>
        </w:rPr>
      </w:pPr>
    </w:p>
    <w:p w14:paraId="6EB24D1D">
      <w:pPr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常备更换配件及设备报价表</w:t>
      </w:r>
      <w:r>
        <w:rPr>
          <w:rFonts w:ascii="宋体" w:hAnsi="宋体"/>
          <w:sz w:val="24"/>
          <w:highlight w:val="none"/>
        </w:rPr>
        <w:t>:</w:t>
      </w:r>
    </w:p>
    <w:p w14:paraId="792AE898">
      <w:pPr>
        <w:rPr>
          <w:rFonts w:ascii="宋体" w:hAnsi="宋体"/>
          <w:sz w:val="24"/>
          <w:highlight w:val="none"/>
        </w:rPr>
      </w:pPr>
    </w:p>
    <w:tbl>
      <w:tblPr>
        <w:tblStyle w:val="9"/>
        <w:tblW w:w="84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1081"/>
        <w:gridCol w:w="3891"/>
        <w:gridCol w:w="580"/>
        <w:gridCol w:w="602"/>
        <w:gridCol w:w="1537"/>
      </w:tblGrid>
      <w:tr w14:paraId="65F61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740" w:type="dxa"/>
            <w:noWrap w:val="0"/>
            <w:vAlign w:val="center"/>
          </w:tcPr>
          <w:p w14:paraId="2928A32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1081" w:type="dxa"/>
            <w:noWrap w:val="0"/>
            <w:vAlign w:val="center"/>
          </w:tcPr>
          <w:p w14:paraId="3739895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>项目名称</w:t>
            </w:r>
          </w:p>
        </w:tc>
        <w:tc>
          <w:tcPr>
            <w:tcW w:w="3891" w:type="dxa"/>
            <w:noWrap w:val="0"/>
            <w:vAlign w:val="center"/>
          </w:tcPr>
          <w:p w14:paraId="429DAAA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>品牌规格</w:t>
            </w:r>
          </w:p>
        </w:tc>
        <w:tc>
          <w:tcPr>
            <w:tcW w:w="580" w:type="dxa"/>
            <w:noWrap w:val="0"/>
            <w:vAlign w:val="center"/>
          </w:tcPr>
          <w:p w14:paraId="27B1859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>数量</w:t>
            </w:r>
          </w:p>
        </w:tc>
        <w:tc>
          <w:tcPr>
            <w:tcW w:w="602" w:type="dxa"/>
            <w:noWrap w:val="0"/>
            <w:vAlign w:val="center"/>
          </w:tcPr>
          <w:p w14:paraId="768D60A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>单位</w:t>
            </w:r>
          </w:p>
        </w:tc>
        <w:tc>
          <w:tcPr>
            <w:tcW w:w="1537" w:type="dxa"/>
            <w:noWrap w:val="0"/>
            <w:vAlign w:val="center"/>
          </w:tcPr>
          <w:p w14:paraId="09F4D26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>单价（元）</w:t>
            </w:r>
          </w:p>
        </w:tc>
      </w:tr>
      <w:tr w14:paraId="45A78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40" w:type="dxa"/>
            <w:noWrap w:val="0"/>
            <w:vAlign w:val="center"/>
          </w:tcPr>
          <w:p w14:paraId="7CBA9E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81" w:type="dxa"/>
            <w:noWrap w:val="0"/>
            <w:vAlign w:val="center"/>
          </w:tcPr>
          <w:p w14:paraId="25F96D5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OPS电脑内存条</w:t>
            </w:r>
          </w:p>
        </w:tc>
        <w:tc>
          <w:tcPr>
            <w:tcW w:w="3891" w:type="dxa"/>
            <w:noWrap w:val="0"/>
            <w:vAlign w:val="center"/>
          </w:tcPr>
          <w:p w14:paraId="5F1299F0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金士顿 8G 2400</w:t>
            </w:r>
          </w:p>
        </w:tc>
        <w:tc>
          <w:tcPr>
            <w:tcW w:w="580" w:type="dxa"/>
            <w:noWrap w:val="0"/>
            <w:vAlign w:val="center"/>
          </w:tcPr>
          <w:p w14:paraId="14CFE15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602" w:type="dxa"/>
            <w:noWrap w:val="0"/>
            <w:vAlign w:val="center"/>
          </w:tcPr>
          <w:p w14:paraId="2DE1DB7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条</w:t>
            </w:r>
          </w:p>
        </w:tc>
        <w:tc>
          <w:tcPr>
            <w:tcW w:w="1537" w:type="dxa"/>
            <w:noWrap w:val="0"/>
            <w:vAlign w:val="center"/>
          </w:tcPr>
          <w:p w14:paraId="4751BBC8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098E8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40" w:type="dxa"/>
            <w:noWrap w:val="0"/>
            <w:vAlign w:val="center"/>
          </w:tcPr>
          <w:p w14:paraId="68C52C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81" w:type="dxa"/>
            <w:noWrap w:val="0"/>
            <w:vAlign w:val="center"/>
          </w:tcPr>
          <w:p w14:paraId="1D43230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OPS电脑固态硬盘</w:t>
            </w:r>
          </w:p>
        </w:tc>
        <w:tc>
          <w:tcPr>
            <w:tcW w:w="3891" w:type="dxa"/>
            <w:noWrap w:val="0"/>
            <w:vAlign w:val="center"/>
          </w:tcPr>
          <w:p w14:paraId="1A8665C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金士顿(Kingston) 500GB SSD固态硬盘 M.2接口(NVMe协议) A2000系列</w:t>
            </w:r>
          </w:p>
        </w:tc>
        <w:tc>
          <w:tcPr>
            <w:tcW w:w="580" w:type="dxa"/>
            <w:noWrap w:val="0"/>
            <w:vAlign w:val="center"/>
          </w:tcPr>
          <w:p w14:paraId="44196B5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602" w:type="dxa"/>
            <w:noWrap w:val="0"/>
            <w:vAlign w:val="center"/>
          </w:tcPr>
          <w:p w14:paraId="559FCD7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块</w:t>
            </w:r>
          </w:p>
        </w:tc>
        <w:tc>
          <w:tcPr>
            <w:tcW w:w="1537" w:type="dxa"/>
            <w:noWrap w:val="0"/>
            <w:vAlign w:val="center"/>
          </w:tcPr>
          <w:p w14:paraId="67750234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7F94A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740" w:type="dxa"/>
            <w:noWrap w:val="0"/>
            <w:vAlign w:val="center"/>
          </w:tcPr>
          <w:p w14:paraId="37BEEC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081" w:type="dxa"/>
            <w:noWrap w:val="0"/>
            <w:vAlign w:val="center"/>
          </w:tcPr>
          <w:p w14:paraId="52389EC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电脑固态硬盘</w:t>
            </w:r>
          </w:p>
        </w:tc>
        <w:tc>
          <w:tcPr>
            <w:tcW w:w="3891" w:type="dxa"/>
            <w:noWrap w:val="0"/>
            <w:vAlign w:val="center"/>
          </w:tcPr>
          <w:p w14:paraId="562F61AE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威刚（ADATA） SP580 SATA3.0 SSD固态硬盘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 xml:space="preserve"> 240g</w:t>
            </w:r>
          </w:p>
        </w:tc>
        <w:tc>
          <w:tcPr>
            <w:tcW w:w="580" w:type="dxa"/>
            <w:noWrap w:val="0"/>
            <w:vAlign w:val="center"/>
          </w:tcPr>
          <w:p w14:paraId="66723B7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602" w:type="dxa"/>
            <w:noWrap w:val="0"/>
            <w:vAlign w:val="center"/>
          </w:tcPr>
          <w:p w14:paraId="663B041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块</w:t>
            </w:r>
          </w:p>
        </w:tc>
        <w:tc>
          <w:tcPr>
            <w:tcW w:w="1537" w:type="dxa"/>
            <w:noWrap w:val="0"/>
            <w:vAlign w:val="center"/>
          </w:tcPr>
          <w:p w14:paraId="28A960C8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202E5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740" w:type="dxa"/>
            <w:noWrap w:val="0"/>
            <w:vAlign w:val="center"/>
          </w:tcPr>
          <w:p w14:paraId="791886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081" w:type="dxa"/>
            <w:noWrap w:val="0"/>
            <w:vAlign w:val="center"/>
          </w:tcPr>
          <w:p w14:paraId="6B21637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视频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展台</w:t>
            </w:r>
          </w:p>
        </w:tc>
        <w:tc>
          <w:tcPr>
            <w:tcW w:w="3891" w:type="dxa"/>
            <w:noWrap w:val="0"/>
            <w:vAlign w:val="center"/>
          </w:tcPr>
          <w:p w14:paraId="2E7A5AF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鸿合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HZ-G7C</w:t>
            </w:r>
          </w:p>
        </w:tc>
        <w:tc>
          <w:tcPr>
            <w:tcW w:w="580" w:type="dxa"/>
            <w:noWrap w:val="0"/>
            <w:vAlign w:val="center"/>
          </w:tcPr>
          <w:p w14:paraId="6381A14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602" w:type="dxa"/>
            <w:noWrap w:val="0"/>
            <w:vAlign w:val="center"/>
          </w:tcPr>
          <w:p w14:paraId="4940FED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台</w:t>
            </w:r>
          </w:p>
        </w:tc>
        <w:tc>
          <w:tcPr>
            <w:tcW w:w="1537" w:type="dxa"/>
            <w:noWrap w:val="0"/>
            <w:vAlign w:val="center"/>
          </w:tcPr>
          <w:p w14:paraId="4DF4B15B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34E42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40" w:type="dxa"/>
            <w:noWrap w:val="0"/>
            <w:vAlign w:val="center"/>
          </w:tcPr>
          <w:p w14:paraId="60883E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081" w:type="dxa"/>
            <w:noWrap w:val="0"/>
            <w:vAlign w:val="center"/>
          </w:tcPr>
          <w:p w14:paraId="03FBFD2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推拉黑板挂锁</w:t>
            </w:r>
          </w:p>
        </w:tc>
        <w:tc>
          <w:tcPr>
            <w:tcW w:w="3891" w:type="dxa"/>
            <w:noWrap w:val="0"/>
            <w:vAlign w:val="center"/>
          </w:tcPr>
          <w:p w14:paraId="1B093B2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蓝贝思特推拉黑板配套挂锁</w:t>
            </w:r>
          </w:p>
        </w:tc>
        <w:tc>
          <w:tcPr>
            <w:tcW w:w="580" w:type="dxa"/>
            <w:noWrap w:val="0"/>
            <w:vAlign w:val="center"/>
          </w:tcPr>
          <w:p w14:paraId="3634260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602" w:type="dxa"/>
            <w:noWrap w:val="0"/>
            <w:vAlign w:val="center"/>
          </w:tcPr>
          <w:p w14:paraId="25C31AE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块</w:t>
            </w:r>
          </w:p>
        </w:tc>
        <w:tc>
          <w:tcPr>
            <w:tcW w:w="1537" w:type="dxa"/>
            <w:noWrap w:val="0"/>
            <w:vAlign w:val="center"/>
          </w:tcPr>
          <w:p w14:paraId="6F9FD383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002CF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40" w:type="dxa"/>
            <w:noWrap w:val="0"/>
            <w:vAlign w:val="center"/>
          </w:tcPr>
          <w:p w14:paraId="1BC9F5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081" w:type="dxa"/>
            <w:noWrap w:val="0"/>
            <w:vAlign w:val="center"/>
          </w:tcPr>
          <w:p w14:paraId="2A445C45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无线麦克风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和音箱</w:t>
            </w:r>
          </w:p>
        </w:tc>
        <w:tc>
          <w:tcPr>
            <w:tcW w:w="3891" w:type="dxa"/>
            <w:noWrap w:val="0"/>
            <w:vAlign w:val="center"/>
          </w:tcPr>
          <w:p w14:paraId="2D53BF6C">
            <w:pPr>
              <w:widowControl/>
              <w:spacing w:line="240" w:lineRule="auto"/>
              <w:ind w:firstLine="0" w:firstLineChars="0"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无线麦克风 SOYO-WTG07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和</w:t>
            </w:r>
          </w:p>
          <w:p w14:paraId="5B22CA4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无线音箱 TP-WSD02</w:t>
            </w:r>
          </w:p>
        </w:tc>
        <w:tc>
          <w:tcPr>
            <w:tcW w:w="580" w:type="dxa"/>
            <w:noWrap w:val="0"/>
            <w:vAlign w:val="center"/>
          </w:tcPr>
          <w:p w14:paraId="5DD0ED8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602" w:type="dxa"/>
            <w:noWrap w:val="0"/>
            <w:vAlign w:val="center"/>
          </w:tcPr>
          <w:p w14:paraId="7AF0619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套</w:t>
            </w:r>
          </w:p>
        </w:tc>
        <w:tc>
          <w:tcPr>
            <w:tcW w:w="1537" w:type="dxa"/>
            <w:noWrap w:val="0"/>
            <w:vAlign w:val="center"/>
          </w:tcPr>
          <w:p w14:paraId="5B73DDF3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57F26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40" w:type="dxa"/>
            <w:noWrap w:val="0"/>
            <w:vAlign w:val="center"/>
          </w:tcPr>
          <w:p w14:paraId="3D0C75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081" w:type="dxa"/>
            <w:noWrap w:val="0"/>
            <w:vAlign w:val="center"/>
          </w:tcPr>
          <w:p w14:paraId="6C1C25E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室内壁挂音箱(塑料外壳)</w:t>
            </w:r>
          </w:p>
        </w:tc>
        <w:tc>
          <w:tcPr>
            <w:tcW w:w="3891" w:type="dxa"/>
            <w:noWrap w:val="0"/>
            <w:vAlign w:val="center"/>
          </w:tcPr>
          <w:p w14:paraId="5610CDB0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世邦 NAC-2302H</w:t>
            </w:r>
          </w:p>
          <w:p w14:paraId="74F9F45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580" w:type="dxa"/>
            <w:noWrap w:val="0"/>
            <w:vAlign w:val="center"/>
          </w:tcPr>
          <w:p w14:paraId="7B880C8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602" w:type="dxa"/>
            <w:noWrap w:val="0"/>
            <w:vAlign w:val="center"/>
          </w:tcPr>
          <w:p w14:paraId="7A4BF18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台</w:t>
            </w:r>
          </w:p>
        </w:tc>
        <w:tc>
          <w:tcPr>
            <w:tcW w:w="1537" w:type="dxa"/>
            <w:noWrap w:val="0"/>
            <w:vAlign w:val="center"/>
          </w:tcPr>
          <w:p w14:paraId="5983F1C1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0E8C1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40" w:type="dxa"/>
            <w:noWrap w:val="0"/>
            <w:vAlign w:val="center"/>
          </w:tcPr>
          <w:p w14:paraId="5801DE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081" w:type="dxa"/>
            <w:noWrap w:val="0"/>
            <w:vAlign w:val="center"/>
          </w:tcPr>
          <w:p w14:paraId="377CA5C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壁挂式IP网络终端</w:t>
            </w:r>
          </w:p>
        </w:tc>
        <w:tc>
          <w:tcPr>
            <w:tcW w:w="3891" w:type="dxa"/>
            <w:noWrap w:val="0"/>
            <w:vAlign w:val="center"/>
          </w:tcPr>
          <w:p w14:paraId="1CDC2FB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世邦 NAS-8505B(带120W定压功放)</w:t>
            </w:r>
          </w:p>
        </w:tc>
        <w:tc>
          <w:tcPr>
            <w:tcW w:w="580" w:type="dxa"/>
            <w:noWrap w:val="0"/>
            <w:vAlign w:val="center"/>
          </w:tcPr>
          <w:p w14:paraId="3141DC7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602" w:type="dxa"/>
            <w:noWrap w:val="0"/>
            <w:vAlign w:val="center"/>
          </w:tcPr>
          <w:p w14:paraId="4A8B67E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台</w:t>
            </w:r>
          </w:p>
        </w:tc>
        <w:tc>
          <w:tcPr>
            <w:tcW w:w="1537" w:type="dxa"/>
            <w:noWrap w:val="0"/>
            <w:vAlign w:val="center"/>
          </w:tcPr>
          <w:p w14:paraId="22F4736D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46C36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40" w:type="dxa"/>
            <w:noWrap w:val="0"/>
            <w:vAlign w:val="center"/>
          </w:tcPr>
          <w:p w14:paraId="603143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081" w:type="dxa"/>
            <w:noWrap w:val="0"/>
            <w:vAlign w:val="center"/>
          </w:tcPr>
          <w:p w14:paraId="235F383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大功率纯后级广播功放</w:t>
            </w:r>
          </w:p>
        </w:tc>
        <w:tc>
          <w:tcPr>
            <w:tcW w:w="3891" w:type="dxa"/>
            <w:noWrap w:val="0"/>
            <w:vAlign w:val="center"/>
          </w:tcPr>
          <w:p w14:paraId="77737F3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世邦 NAC-4150A</w:t>
            </w:r>
          </w:p>
          <w:p w14:paraId="268A05A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NAC-4150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580" w:type="dxa"/>
            <w:noWrap w:val="0"/>
            <w:vAlign w:val="center"/>
          </w:tcPr>
          <w:p w14:paraId="08892EA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602" w:type="dxa"/>
            <w:noWrap w:val="0"/>
            <w:vAlign w:val="center"/>
          </w:tcPr>
          <w:p w14:paraId="606E2BA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台</w:t>
            </w:r>
          </w:p>
        </w:tc>
        <w:tc>
          <w:tcPr>
            <w:tcW w:w="1537" w:type="dxa"/>
            <w:noWrap w:val="0"/>
            <w:vAlign w:val="center"/>
          </w:tcPr>
          <w:p w14:paraId="6293F43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　</w:t>
            </w:r>
          </w:p>
        </w:tc>
      </w:tr>
      <w:tr w14:paraId="36B35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0" w:type="dxa"/>
            <w:noWrap w:val="0"/>
            <w:vAlign w:val="center"/>
          </w:tcPr>
          <w:p w14:paraId="3AA369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081" w:type="dxa"/>
            <w:noWrap w:val="0"/>
            <w:vAlign w:val="center"/>
          </w:tcPr>
          <w:p w14:paraId="6C670FD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网络筒机</w:t>
            </w:r>
          </w:p>
        </w:tc>
        <w:tc>
          <w:tcPr>
            <w:tcW w:w="3891" w:type="dxa"/>
            <w:noWrap w:val="0"/>
            <w:vAlign w:val="center"/>
          </w:tcPr>
          <w:p w14:paraId="48695A2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海康威视DS-2CD2T2XYZUV-ABCDEF</w:t>
            </w:r>
          </w:p>
          <w:p w14:paraId="2580713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（DS-2CD1T45-LA(4mm)(B)(国内标配)    400万白光全彩枪机，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带拾音功能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580" w:type="dxa"/>
            <w:noWrap w:val="0"/>
            <w:vAlign w:val="center"/>
          </w:tcPr>
          <w:p w14:paraId="52B5B3E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602" w:type="dxa"/>
            <w:noWrap w:val="0"/>
            <w:vAlign w:val="center"/>
          </w:tcPr>
          <w:p w14:paraId="4A516D9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台</w:t>
            </w:r>
          </w:p>
        </w:tc>
        <w:tc>
          <w:tcPr>
            <w:tcW w:w="1537" w:type="dxa"/>
            <w:noWrap w:val="0"/>
            <w:vAlign w:val="center"/>
          </w:tcPr>
          <w:p w14:paraId="346B184C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6F0C4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0" w:type="dxa"/>
            <w:noWrap w:val="0"/>
            <w:vAlign w:val="center"/>
          </w:tcPr>
          <w:p w14:paraId="25B9F4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081" w:type="dxa"/>
            <w:noWrap w:val="0"/>
            <w:vAlign w:val="center"/>
          </w:tcPr>
          <w:p w14:paraId="7244578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网络半球</w:t>
            </w:r>
          </w:p>
        </w:tc>
        <w:tc>
          <w:tcPr>
            <w:tcW w:w="3891" w:type="dxa"/>
            <w:noWrap w:val="0"/>
            <w:vAlign w:val="center"/>
          </w:tcPr>
          <w:p w14:paraId="3D05D08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海康威视DS-2CD232XYZUV-LABCDE</w:t>
            </w:r>
          </w:p>
          <w:p w14:paraId="51D6D55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（DS-2CD1345V2-LA(4mm)(B)(国内标配)  400万白光全彩半球，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带拾音功能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580" w:type="dxa"/>
            <w:noWrap w:val="0"/>
            <w:vAlign w:val="center"/>
          </w:tcPr>
          <w:p w14:paraId="657148D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602" w:type="dxa"/>
            <w:noWrap w:val="0"/>
            <w:vAlign w:val="center"/>
          </w:tcPr>
          <w:p w14:paraId="17C6FBE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台</w:t>
            </w:r>
          </w:p>
        </w:tc>
        <w:tc>
          <w:tcPr>
            <w:tcW w:w="1537" w:type="dxa"/>
            <w:noWrap w:val="0"/>
            <w:vAlign w:val="center"/>
          </w:tcPr>
          <w:p w14:paraId="036DFDF6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6FA7C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0" w:type="dxa"/>
            <w:noWrap w:val="0"/>
            <w:vAlign w:val="center"/>
          </w:tcPr>
          <w:p w14:paraId="0DDFB8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81" w:type="dxa"/>
            <w:noWrap w:val="0"/>
            <w:vAlign w:val="center"/>
          </w:tcPr>
          <w:p w14:paraId="5E3E6BB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智能球机</w:t>
            </w:r>
          </w:p>
        </w:tc>
        <w:tc>
          <w:tcPr>
            <w:tcW w:w="3891" w:type="dxa"/>
            <w:noWrap w:val="0"/>
            <w:vAlign w:val="center"/>
          </w:tcPr>
          <w:p w14:paraId="54F1B75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海康威视(i)DS-2DE72ABCDF-XYZL/VWS</w:t>
            </w:r>
          </w:p>
          <w:p w14:paraId="268C96E0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（DS-2SC3Q140MY-TE(4mm)(国内标配)(海康白)  3寸400万室外PoE球机，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带拾音功能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580" w:type="dxa"/>
            <w:noWrap w:val="0"/>
            <w:vAlign w:val="center"/>
          </w:tcPr>
          <w:p w14:paraId="74B4929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602" w:type="dxa"/>
            <w:noWrap w:val="0"/>
            <w:vAlign w:val="center"/>
          </w:tcPr>
          <w:p w14:paraId="1D39894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台</w:t>
            </w:r>
          </w:p>
        </w:tc>
        <w:tc>
          <w:tcPr>
            <w:tcW w:w="1537" w:type="dxa"/>
            <w:noWrap w:val="0"/>
            <w:vAlign w:val="center"/>
          </w:tcPr>
          <w:p w14:paraId="5809C705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4237A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40" w:type="dxa"/>
            <w:noWrap w:val="0"/>
            <w:vAlign w:val="center"/>
          </w:tcPr>
          <w:p w14:paraId="5F7D48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081" w:type="dxa"/>
            <w:noWrap w:val="0"/>
            <w:vAlign w:val="center"/>
          </w:tcPr>
          <w:p w14:paraId="31AA595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电源适配器</w:t>
            </w:r>
          </w:p>
        </w:tc>
        <w:tc>
          <w:tcPr>
            <w:tcW w:w="3891" w:type="dxa"/>
            <w:noWrap w:val="0"/>
            <w:vAlign w:val="center"/>
          </w:tcPr>
          <w:p w14:paraId="51509AA1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海康威视DS-2FA1210-DC-CH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停产型号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</w:p>
          <w:p w14:paraId="4A03DBB5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DS-2FA1202-B(C)-B</w:t>
            </w:r>
          </w:p>
        </w:tc>
        <w:tc>
          <w:tcPr>
            <w:tcW w:w="580" w:type="dxa"/>
            <w:noWrap w:val="0"/>
            <w:vAlign w:val="center"/>
          </w:tcPr>
          <w:p w14:paraId="44899F2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602" w:type="dxa"/>
            <w:noWrap w:val="0"/>
            <w:vAlign w:val="center"/>
          </w:tcPr>
          <w:p w14:paraId="6C7A825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个</w:t>
            </w:r>
          </w:p>
        </w:tc>
        <w:tc>
          <w:tcPr>
            <w:tcW w:w="1537" w:type="dxa"/>
            <w:noWrap w:val="0"/>
            <w:vAlign w:val="center"/>
          </w:tcPr>
          <w:p w14:paraId="352758B0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09720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40" w:type="dxa"/>
            <w:noWrap w:val="0"/>
            <w:vAlign w:val="center"/>
          </w:tcPr>
          <w:p w14:paraId="7A8089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081" w:type="dxa"/>
            <w:noWrap w:val="0"/>
            <w:vAlign w:val="center"/>
          </w:tcPr>
          <w:p w14:paraId="1610894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4T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监控级硬盘</w:t>
            </w:r>
          </w:p>
        </w:tc>
        <w:tc>
          <w:tcPr>
            <w:tcW w:w="3891" w:type="dxa"/>
            <w:noWrap w:val="0"/>
            <w:vAlign w:val="center"/>
          </w:tcPr>
          <w:p w14:paraId="00BD15F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希捷监控级海康专供盘HDD,ST6000VX001,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TB,5400,3.5'',SATA 3.0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（ST 4000HVS002  海康LOGO 硬盘）</w:t>
            </w:r>
          </w:p>
        </w:tc>
        <w:tc>
          <w:tcPr>
            <w:tcW w:w="580" w:type="dxa"/>
            <w:noWrap w:val="0"/>
            <w:vAlign w:val="center"/>
          </w:tcPr>
          <w:p w14:paraId="2518653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602" w:type="dxa"/>
            <w:noWrap w:val="0"/>
            <w:vAlign w:val="center"/>
          </w:tcPr>
          <w:p w14:paraId="191DF70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块</w:t>
            </w:r>
          </w:p>
        </w:tc>
        <w:tc>
          <w:tcPr>
            <w:tcW w:w="1537" w:type="dxa"/>
            <w:noWrap w:val="0"/>
            <w:vAlign w:val="center"/>
          </w:tcPr>
          <w:p w14:paraId="1A36405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　</w:t>
            </w:r>
          </w:p>
        </w:tc>
      </w:tr>
      <w:tr w14:paraId="4DCFE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40" w:type="dxa"/>
            <w:noWrap w:val="0"/>
            <w:vAlign w:val="center"/>
          </w:tcPr>
          <w:p w14:paraId="16CAD1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081" w:type="dxa"/>
            <w:noWrap w:val="0"/>
            <w:vAlign w:val="center"/>
          </w:tcPr>
          <w:p w14:paraId="1B54539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8T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监控级硬盘</w:t>
            </w:r>
          </w:p>
        </w:tc>
        <w:tc>
          <w:tcPr>
            <w:tcW w:w="3891" w:type="dxa"/>
            <w:noWrap w:val="0"/>
            <w:vAlign w:val="center"/>
          </w:tcPr>
          <w:p w14:paraId="2D53CAA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希捷监控级海康专供盘HDD,ST6000VX001,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TB,5400,3.5'',SATA 3.0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（希捷8T ST8000VX009 海康logo ）</w:t>
            </w:r>
          </w:p>
        </w:tc>
        <w:tc>
          <w:tcPr>
            <w:tcW w:w="580" w:type="dxa"/>
            <w:noWrap w:val="0"/>
            <w:vAlign w:val="center"/>
          </w:tcPr>
          <w:p w14:paraId="69C774A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602" w:type="dxa"/>
            <w:noWrap w:val="0"/>
            <w:vAlign w:val="center"/>
          </w:tcPr>
          <w:p w14:paraId="2BCA1AF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块</w:t>
            </w:r>
          </w:p>
        </w:tc>
        <w:tc>
          <w:tcPr>
            <w:tcW w:w="1537" w:type="dxa"/>
            <w:noWrap w:val="0"/>
            <w:vAlign w:val="center"/>
          </w:tcPr>
          <w:p w14:paraId="397980E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73D25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40" w:type="dxa"/>
            <w:noWrap w:val="0"/>
            <w:vAlign w:val="center"/>
          </w:tcPr>
          <w:p w14:paraId="6EC0E8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081" w:type="dxa"/>
            <w:noWrap w:val="0"/>
            <w:vAlign w:val="center"/>
          </w:tcPr>
          <w:p w14:paraId="2C23595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车辆道闸遥控器</w:t>
            </w:r>
          </w:p>
        </w:tc>
        <w:tc>
          <w:tcPr>
            <w:tcW w:w="3891" w:type="dxa"/>
            <w:noWrap w:val="0"/>
            <w:vAlign w:val="center"/>
          </w:tcPr>
          <w:p w14:paraId="621192A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海康威视车辆道闸无线遥控器</w:t>
            </w:r>
          </w:p>
        </w:tc>
        <w:tc>
          <w:tcPr>
            <w:tcW w:w="580" w:type="dxa"/>
            <w:noWrap w:val="0"/>
            <w:vAlign w:val="center"/>
          </w:tcPr>
          <w:p w14:paraId="7C251E2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602" w:type="dxa"/>
            <w:noWrap w:val="0"/>
            <w:vAlign w:val="center"/>
          </w:tcPr>
          <w:p w14:paraId="262737E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个</w:t>
            </w:r>
          </w:p>
        </w:tc>
        <w:tc>
          <w:tcPr>
            <w:tcW w:w="1537" w:type="dxa"/>
            <w:noWrap w:val="0"/>
            <w:vAlign w:val="center"/>
          </w:tcPr>
          <w:p w14:paraId="695AD5EF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16A44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40" w:type="dxa"/>
            <w:noWrap w:val="0"/>
            <w:vAlign w:val="center"/>
          </w:tcPr>
          <w:p w14:paraId="3B55F5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081" w:type="dxa"/>
            <w:noWrap w:val="0"/>
            <w:vAlign w:val="center"/>
          </w:tcPr>
          <w:p w14:paraId="0F26BE1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门禁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遥控器</w:t>
            </w:r>
          </w:p>
        </w:tc>
        <w:tc>
          <w:tcPr>
            <w:tcW w:w="3891" w:type="dxa"/>
            <w:noWrap w:val="0"/>
            <w:vAlign w:val="center"/>
          </w:tcPr>
          <w:p w14:paraId="31755074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海康威视DS-K7M601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（停产）</w:t>
            </w:r>
          </w:p>
          <w:p w14:paraId="5D1EBBA4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替代型号DS-K7R03</w:t>
            </w:r>
          </w:p>
        </w:tc>
        <w:tc>
          <w:tcPr>
            <w:tcW w:w="580" w:type="dxa"/>
            <w:noWrap w:val="0"/>
            <w:vAlign w:val="center"/>
          </w:tcPr>
          <w:p w14:paraId="289407D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602" w:type="dxa"/>
            <w:noWrap w:val="0"/>
            <w:vAlign w:val="center"/>
          </w:tcPr>
          <w:p w14:paraId="21A534F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个</w:t>
            </w:r>
          </w:p>
        </w:tc>
        <w:tc>
          <w:tcPr>
            <w:tcW w:w="1537" w:type="dxa"/>
            <w:noWrap w:val="0"/>
            <w:vAlign w:val="center"/>
          </w:tcPr>
          <w:p w14:paraId="3C021ACB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60E31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40" w:type="dxa"/>
            <w:noWrap w:val="0"/>
            <w:vAlign w:val="center"/>
          </w:tcPr>
          <w:p w14:paraId="4DAAA7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1081" w:type="dxa"/>
            <w:noWrap w:val="0"/>
            <w:vAlign w:val="center"/>
          </w:tcPr>
          <w:p w14:paraId="6809126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8口百兆交换机</w:t>
            </w:r>
          </w:p>
        </w:tc>
        <w:tc>
          <w:tcPr>
            <w:tcW w:w="3891" w:type="dxa"/>
            <w:noWrap w:val="0"/>
            <w:vAlign w:val="center"/>
          </w:tcPr>
          <w:p w14:paraId="1D6CC70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TP-LINK普联百兆以太网交换机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（TL-SF1008+）</w:t>
            </w:r>
          </w:p>
        </w:tc>
        <w:tc>
          <w:tcPr>
            <w:tcW w:w="580" w:type="dxa"/>
            <w:noWrap w:val="0"/>
            <w:vAlign w:val="center"/>
          </w:tcPr>
          <w:p w14:paraId="2545B88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602" w:type="dxa"/>
            <w:noWrap w:val="0"/>
            <w:vAlign w:val="center"/>
          </w:tcPr>
          <w:p w14:paraId="6F23968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台</w:t>
            </w:r>
          </w:p>
        </w:tc>
        <w:tc>
          <w:tcPr>
            <w:tcW w:w="1537" w:type="dxa"/>
            <w:noWrap w:val="0"/>
            <w:vAlign w:val="center"/>
          </w:tcPr>
          <w:p w14:paraId="020D69C9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45ADB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40" w:type="dxa"/>
            <w:noWrap w:val="0"/>
            <w:vAlign w:val="center"/>
          </w:tcPr>
          <w:p w14:paraId="4E4212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1081" w:type="dxa"/>
            <w:noWrap w:val="0"/>
            <w:vAlign w:val="center"/>
          </w:tcPr>
          <w:p w14:paraId="0828D2F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9口监控交换机</w:t>
            </w:r>
          </w:p>
        </w:tc>
        <w:tc>
          <w:tcPr>
            <w:tcW w:w="3891" w:type="dxa"/>
            <w:noWrap w:val="0"/>
            <w:vAlign w:val="center"/>
          </w:tcPr>
          <w:p w14:paraId="4F4EC94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海康威视监控交换机1个千兆8个百兆非网管非POE供电交换器网线分流金属机身散热分线器3E0309-E</w:t>
            </w:r>
          </w:p>
        </w:tc>
        <w:tc>
          <w:tcPr>
            <w:tcW w:w="580" w:type="dxa"/>
            <w:noWrap w:val="0"/>
            <w:vAlign w:val="center"/>
          </w:tcPr>
          <w:p w14:paraId="48FE9D4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602" w:type="dxa"/>
            <w:noWrap w:val="0"/>
            <w:vAlign w:val="center"/>
          </w:tcPr>
          <w:p w14:paraId="4EE2D65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台</w:t>
            </w:r>
          </w:p>
        </w:tc>
        <w:tc>
          <w:tcPr>
            <w:tcW w:w="1537" w:type="dxa"/>
            <w:noWrap w:val="0"/>
            <w:vAlign w:val="center"/>
          </w:tcPr>
          <w:p w14:paraId="043126D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24EC7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40" w:type="dxa"/>
            <w:noWrap w:val="0"/>
            <w:vAlign w:val="center"/>
          </w:tcPr>
          <w:p w14:paraId="2C1A27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081" w:type="dxa"/>
            <w:noWrap w:val="0"/>
            <w:vAlign w:val="center"/>
          </w:tcPr>
          <w:p w14:paraId="36057A1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百兆光纤收发器</w:t>
            </w:r>
          </w:p>
        </w:tc>
        <w:tc>
          <w:tcPr>
            <w:tcW w:w="3891" w:type="dxa"/>
            <w:noWrap w:val="0"/>
            <w:vAlign w:val="center"/>
          </w:tcPr>
          <w:p w14:paraId="6419DE6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TP-LINK TL-FC111A TL-FC111B 百兆单模单纤光纤收发器</w:t>
            </w:r>
          </w:p>
        </w:tc>
        <w:tc>
          <w:tcPr>
            <w:tcW w:w="580" w:type="dxa"/>
            <w:noWrap w:val="0"/>
            <w:vAlign w:val="center"/>
          </w:tcPr>
          <w:p w14:paraId="15AED11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602" w:type="dxa"/>
            <w:noWrap w:val="0"/>
            <w:vAlign w:val="center"/>
          </w:tcPr>
          <w:p w14:paraId="4C6741E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对</w:t>
            </w:r>
          </w:p>
        </w:tc>
        <w:tc>
          <w:tcPr>
            <w:tcW w:w="1537" w:type="dxa"/>
            <w:noWrap w:val="0"/>
            <w:vAlign w:val="center"/>
          </w:tcPr>
          <w:p w14:paraId="05D1B35D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23FB0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40" w:type="dxa"/>
            <w:noWrap w:val="0"/>
            <w:vAlign w:val="center"/>
          </w:tcPr>
          <w:p w14:paraId="5CA5DE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1081" w:type="dxa"/>
            <w:noWrap w:val="0"/>
            <w:vAlign w:val="center"/>
          </w:tcPr>
          <w:p w14:paraId="0DCA340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千兆光纤收发器</w:t>
            </w:r>
          </w:p>
        </w:tc>
        <w:tc>
          <w:tcPr>
            <w:tcW w:w="3891" w:type="dxa"/>
            <w:noWrap w:val="0"/>
            <w:vAlign w:val="center"/>
          </w:tcPr>
          <w:p w14:paraId="6395C54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  <w:p w14:paraId="0D4DE69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TP-LINK千兆单模单纤光纤收发器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1SC+1GE</w:t>
            </w:r>
          </w:p>
        </w:tc>
        <w:tc>
          <w:tcPr>
            <w:tcW w:w="580" w:type="dxa"/>
            <w:noWrap w:val="0"/>
            <w:vAlign w:val="center"/>
          </w:tcPr>
          <w:p w14:paraId="5EB9899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602" w:type="dxa"/>
            <w:noWrap w:val="0"/>
            <w:vAlign w:val="center"/>
          </w:tcPr>
          <w:p w14:paraId="123468E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对</w:t>
            </w:r>
          </w:p>
        </w:tc>
        <w:tc>
          <w:tcPr>
            <w:tcW w:w="1537" w:type="dxa"/>
            <w:noWrap w:val="0"/>
            <w:vAlign w:val="center"/>
          </w:tcPr>
          <w:p w14:paraId="4EF28C3F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614EC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40" w:type="dxa"/>
            <w:noWrap w:val="0"/>
            <w:vAlign w:val="center"/>
          </w:tcPr>
          <w:p w14:paraId="3964C5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1081" w:type="dxa"/>
            <w:noWrap w:val="0"/>
            <w:vAlign w:val="center"/>
          </w:tcPr>
          <w:p w14:paraId="2D806A6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USB延长线</w:t>
            </w:r>
          </w:p>
        </w:tc>
        <w:tc>
          <w:tcPr>
            <w:tcW w:w="3891" w:type="dxa"/>
            <w:noWrap w:val="0"/>
            <w:vAlign w:val="center"/>
          </w:tcPr>
          <w:p w14:paraId="1426197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绿联（UGREEN）USB2.0延长线公对母 高速传输数据连接线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3米</w:t>
            </w:r>
          </w:p>
        </w:tc>
        <w:tc>
          <w:tcPr>
            <w:tcW w:w="580" w:type="dxa"/>
            <w:noWrap w:val="0"/>
            <w:vAlign w:val="center"/>
          </w:tcPr>
          <w:p w14:paraId="4F09E74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602" w:type="dxa"/>
            <w:noWrap w:val="0"/>
            <w:vAlign w:val="center"/>
          </w:tcPr>
          <w:p w14:paraId="2F908DD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根</w:t>
            </w:r>
          </w:p>
        </w:tc>
        <w:tc>
          <w:tcPr>
            <w:tcW w:w="1537" w:type="dxa"/>
            <w:noWrap w:val="0"/>
            <w:vAlign w:val="center"/>
          </w:tcPr>
          <w:p w14:paraId="2549F06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26D41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40" w:type="dxa"/>
            <w:noWrap w:val="0"/>
            <w:vAlign w:val="center"/>
          </w:tcPr>
          <w:p w14:paraId="24F1A1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1081" w:type="dxa"/>
            <w:noWrap w:val="0"/>
            <w:vAlign w:val="center"/>
          </w:tcPr>
          <w:p w14:paraId="29F686A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人行通道闸机遥控器</w:t>
            </w:r>
          </w:p>
        </w:tc>
        <w:tc>
          <w:tcPr>
            <w:tcW w:w="3891" w:type="dxa"/>
            <w:noWrap w:val="0"/>
            <w:vAlign w:val="center"/>
          </w:tcPr>
          <w:p w14:paraId="0FCB0E53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人行通道闸机遥控器</w:t>
            </w:r>
          </w:p>
          <w:p w14:paraId="5228789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型号DS-K7R03</w:t>
            </w:r>
          </w:p>
        </w:tc>
        <w:tc>
          <w:tcPr>
            <w:tcW w:w="580" w:type="dxa"/>
            <w:noWrap w:val="0"/>
            <w:vAlign w:val="center"/>
          </w:tcPr>
          <w:p w14:paraId="74C5FB7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602" w:type="dxa"/>
            <w:noWrap w:val="0"/>
            <w:vAlign w:val="center"/>
          </w:tcPr>
          <w:p w14:paraId="41E1FAB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个</w:t>
            </w:r>
          </w:p>
        </w:tc>
        <w:tc>
          <w:tcPr>
            <w:tcW w:w="1537" w:type="dxa"/>
            <w:noWrap w:val="0"/>
            <w:vAlign w:val="center"/>
          </w:tcPr>
          <w:p w14:paraId="079777E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55AB2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40" w:type="dxa"/>
            <w:noWrap w:val="0"/>
            <w:vAlign w:val="center"/>
          </w:tcPr>
          <w:p w14:paraId="294EFE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1081" w:type="dxa"/>
            <w:noWrap w:val="0"/>
            <w:vAlign w:val="center"/>
          </w:tcPr>
          <w:p w14:paraId="7673CFB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LED屏控制板</w:t>
            </w:r>
          </w:p>
        </w:tc>
        <w:tc>
          <w:tcPr>
            <w:tcW w:w="3891" w:type="dxa"/>
            <w:noWrap w:val="0"/>
            <w:vAlign w:val="center"/>
          </w:tcPr>
          <w:p w14:paraId="22C90465">
            <w:pPr>
              <w:bidi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强力巨彩</w:t>
            </w:r>
          </w:p>
        </w:tc>
        <w:tc>
          <w:tcPr>
            <w:tcW w:w="580" w:type="dxa"/>
            <w:noWrap w:val="0"/>
            <w:vAlign w:val="center"/>
          </w:tcPr>
          <w:p w14:paraId="1283A49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602" w:type="dxa"/>
            <w:noWrap w:val="0"/>
            <w:vAlign w:val="center"/>
          </w:tcPr>
          <w:p w14:paraId="5D374BD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块</w:t>
            </w:r>
          </w:p>
        </w:tc>
        <w:tc>
          <w:tcPr>
            <w:tcW w:w="1537" w:type="dxa"/>
            <w:noWrap w:val="0"/>
            <w:vAlign w:val="center"/>
          </w:tcPr>
          <w:p w14:paraId="214CB0B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0E952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40" w:type="dxa"/>
            <w:noWrap w:val="0"/>
            <w:vAlign w:val="center"/>
          </w:tcPr>
          <w:p w14:paraId="2E4E6A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081" w:type="dxa"/>
            <w:noWrap w:val="0"/>
            <w:vAlign w:val="center"/>
          </w:tcPr>
          <w:p w14:paraId="2C75E40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LED屏供电电源</w:t>
            </w:r>
          </w:p>
        </w:tc>
        <w:tc>
          <w:tcPr>
            <w:tcW w:w="3891" w:type="dxa"/>
            <w:noWrap w:val="0"/>
            <w:vAlign w:val="center"/>
          </w:tcPr>
          <w:p w14:paraId="3F85734B">
            <w:pPr>
              <w:bidi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LED屏供电电源</w:t>
            </w:r>
          </w:p>
        </w:tc>
        <w:tc>
          <w:tcPr>
            <w:tcW w:w="580" w:type="dxa"/>
            <w:noWrap w:val="0"/>
            <w:vAlign w:val="center"/>
          </w:tcPr>
          <w:p w14:paraId="2AB8325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602" w:type="dxa"/>
            <w:noWrap w:val="0"/>
            <w:vAlign w:val="center"/>
          </w:tcPr>
          <w:p w14:paraId="5286B18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块</w:t>
            </w:r>
          </w:p>
        </w:tc>
        <w:tc>
          <w:tcPr>
            <w:tcW w:w="1537" w:type="dxa"/>
            <w:noWrap w:val="0"/>
            <w:vAlign w:val="center"/>
          </w:tcPr>
          <w:p w14:paraId="40CDE88D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02758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40" w:type="dxa"/>
            <w:noWrap w:val="0"/>
            <w:vAlign w:val="center"/>
          </w:tcPr>
          <w:p w14:paraId="0196A7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081" w:type="dxa"/>
            <w:noWrap w:val="0"/>
            <w:vAlign w:val="center"/>
          </w:tcPr>
          <w:p w14:paraId="33395345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无线会议话筒</w:t>
            </w:r>
          </w:p>
        </w:tc>
        <w:tc>
          <w:tcPr>
            <w:tcW w:w="3891" w:type="dxa"/>
            <w:noWrap w:val="0"/>
            <w:vAlign w:val="center"/>
          </w:tcPr>
          <w:p w14:paraId="5816867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ITC T-52D(600M)</w:t>
            </w:r>
          </w:p>
        </w:tc>
        <w:tc>
          <w:tcPr>
            <w:tcW w:w="580" w:type="dxa"/>
            <w:noWrap w:val="0"/>
            <w:vAlign w:val="center"/>
          </w:tcPr>
          <w:p w14:paraId="35421DF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602" w:type="dxa"/>
            <w:noWrap w:val="0"/>
            <w:vAlign w:val="center"/>
          </w:tcPr>
          <w:p w14:paraId="0B1B5CC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个</w:t>
            </w:r>
          </w:p>
        </w:tc>
        <w:tc>
          <w:tcPr>
            <w:tcW w:w="1537" w:type="dxa"/>
            <w:noWrap w:val="0"/>
            <w:vAlign w:val="center"/>
          </w:tcPr>
          <w:p w14:paraId="21DE123F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603D1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40" w:type="dxa"/>
            <w:noWrap w:val="0"/>
            <w:vAlign w:val="center"/>
          </w:tcPr>
          <w:p w14:paraId="383A34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1081" w:type="dxa"/>
            <w:noWrap w:val="0"/>
            <w:vAlign w:val="center"/>
          </w:tcPr>
          <w:p w14:paraId="2D1452B7">
            <w:pP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草坪音箱</w:t>
            </w:r>
          </w:p>
        </w:tc>
        <w:tc>
          <w:tcPr>
            <w:tcW w:w="3891" w:type="dxa"/>
            <w:noWrap w:val="0"/>
            <w:vAlign w:val="center"/>
          </w:tcPr>
          <w:p w14:paraId="1D715AD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湖山GB-301</w:t>
            </w:r>
          </w:p>
        </w:tc>
        <w:tc>
          <w:tcPr>
            <w:tcW w:w="580" w:type="dxa"/>
            <w:noWrap w:val="0"/>
            <w:vAlign w:val="center"/>
          </w:tcPr>
          <w:p w14:paraId="51F7DEA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602" w:type="dxa"/>
            <w:noWrap w:val="0"/>
            <w:vAlign w:val="center"/>
          </w:tcPr>
          <w:p w14:paraId="47EBE2A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个</w:t>
            </w:r>
          </w:p>
        </w:tc>
        <w:tc>
          <w:tcPr>
            <w:tcW w:w="1537" w:type="dxa"/>
            <w:noWrap w:val="0"/>
            <w:vAlign w:val="center"/>
          </w:tcPr>
          <w:p w14:paraId="59663FD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351DC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40" w:type="dxa"/>
            <w:noWrap w:val="0"/>
            <w:vAlign w:val="center"/>
          </w:tcPr>
          <w:p w14:paraId="7C510E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1081" w:type="dxa"/>
            <w:noWrap w:val="0"/>
            <w:vAlign w:val="center"/>
          </w:tcPr>
          <w:p w14:paraId="4970F6DF">
            <w:pP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壁挂音箱</w:t>
            </w:r>
          </w:p>
        </w:tc>
        <w:tc>
          <w:tcPr>
            <w:tcW w:w="3891" w:type="dxa"/>
            <w:noWrap w:val="0"/>
            <w:vAlign w:val="center"/>
          </w:tcPr>
          <w:p w14:paraId="19E415D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湖山BGS-15W</w:t>
            </w:r>
          </w:p>
        </w:tc>
        <w:tc>
          <w:tcPr>
            <w:tcW w:w="580" w:type="dxa"/>
            <w:noWrap w:val="0"/>
            <w:vAlign w:val="center"/>
          </w:tcPr>
          <w:p w14:paraId="6C68008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602" w:type="dxa"/>
            <w:noWrap w:val="0"/>
            <w:vAlign w:val="center"/>
          </w:tcPr>
          <w:p w14:paraId="1040A3F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只</w:t>
            </w:r>
          </w:p>
        </w:tc>
        <w:tc>
          <w:tcPr>
            <w:tcW w:w="1537" w:type="dxa"/>
            <w:noWrap w:val="0"/>
            <w:vAlign w:val="center"/>
          </w:tcPr>
          <w:p w14:paraId="338FBBE7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</w:tbl>
    <w:p w14:paraId="5C5D6C24">
      <w:pPr>
        <w:rPr>
          <w:rFonts w:hint="eastAsia"/>
          <w:highlight w:val="none"/>
        </w:rPr>
      </w:pPr>
    </w:p>
    <w:sectPr>
      <w:footerReference r:id="rId3" w:type="default"/>
      <w:pgSz w:w="11906" w:h="16838"/>
      <w:pgMar w:top="1440" w:right="1274" w:bottom="1440" w:left="1800" w:header="851" w:footer="68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51810106"/>
      <w:docPartObj>
        <w:docPartGallery w:val="autotext"/>
      </w:docPartObj>
    </w:sdtPr>
    <w:sdtEndPr>
      <w:rPr>
        <w:rFonts w:ascii="宋体" w:hAnsi="宋体"/>
        <w:b/>
        <w:bCs/>
        <w:sz w:val="21"/>
        <w:szCs w:val="21"/>
      </w:rPr>
    </w:sdtEndPr>
    <w:sdtContent>
      <w:p w14:paraId="0CE1ED12">
        <w:pPr>
          <w:pStyle w:val="6"/>
          <w:jc w:val="center"/>
          <w:rPr>
            <w:rFonts w:ascii="宋体" w:hAnsi="宋体"/>
            <w:b/>
            <w:bCs/>
            <w:sz w:val="21"/>
            <w:szCs w:val="21"/>
          </w:rPr>
        </w:pPr>
        <w:r>
          <w:rPr>
            <w:rFonts w:ascii="宋体" w:hAnsi="宋体"/>
            <w:b/>
            <w:bCs/>
            <w:sz w:val="21"/>
            <w:szCs w:val="21"/>
          </w:rPr>
          <w:fldChar w:fldCharType="begin"/>
        </w:r>
        <w:r>
          <w:rPr>
            <w:rFonts w:ascii="宋体" w:hAnsi="宋体"/>
            <w:b/>
            <w:bCs/>
            <w:sz w:val="21"/>
            <w:szCs w:val="21"/>
          </w:rPr>
          <w:instrText xml:space="preserve">PAGE   \* MERGEFORMAT</w:instrText>
        </w:r>
        <w:r>
          <w:rPr>
            <w:rFonts w:ascii="宋体" w:hAnsi="宋体"/>
            <w:b/>
            <w:bCs/>
            <w:sz w:val="21"/>
            <w:szCs w:val="21"/>
          </w:rPr>
          <w:fldChar w:fldCharType="separate"/>
        </w:r>
        <w:r>
          <w:rPr>
            <w:rFonts w:ascii="宋体" w:hAnsi="宋体"/>
            <w:b/>
            <w:bCs/>
            <w:sz w:val="21"/>
            <w:szCs w:val="21"/>
            <w:lang w:val="zh-CN" w:eastAsia="zh-CN"/>
          </w:rPr>
          <w:t>2</w:t>
        </w:r>
        <w:r>
          <w:rPr>
            <w:rFonts w:ascii="宋体" w:hAnsi="宋体"/>
            <w:b/>
            <w:bCs/>
            <w:sz w:val="21"/>
            <w:szCs w:val="21"/>
          </w:rPr>
          <w:fldChar w:fldCharType="end"/>
        </w:r>
      </w:p>
    </w:sdtContent>
  </w:sdt>
  <w:p w14:paraId="05EF9A1F"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89778E"/>
    <w:multiLevelType w:val="multilevel"/>
    <w:tmpl w:val="1189778E"/>
    <w:lvl w:ilvl="0" w:tentative="0">
      <w:start w:val="1"/>
      <w:numFmt w:val="chineseCountingThousand"/>
      <w:suff w:val="nothing"/>
      <w:lvlText w:val="第%1章 "/>
      <w:lvlJc w:val="left"/>
      <w:pPr>
        <w:ind w:left="0" w:firstLine="0"/>
      </w:pPr>
      <w:rPr>
        <w:rFonts w:hint="eastAsia" w:ascii="黑体" w:hAnsi="黑体" w:eastAsia="黑体"/>
        <w:b w:val="0"/>
        <w:i w:val="0"/>
        <w:sz w:val="32"/>
      </w:rPr>
    </w:lvl>
    <w:lvl w:ilvl="1" w:tentative="0">
      <w:start w:val="1"/>
      <w:numFmt w:val="chineseCountingThousand"/>
      <w:pStyle w:val="3"/>
      <w:suff w:val="nothing"/>
      <w:lvlText w:val="%2、"/>
      <w:lvlJc w:val="left"/>
      <w:pPr>
        <w:ind w:left="142" w:firstLine="0"/>
      </w:pPr>
      <w:rPr>
        <w:rFonts w:hint="default" w:ascii="Times New Roman" w:hAnsi="Times New Roman" w:eastAsia="黑体"/>
        <w:b w:val="0"/>
        <w:i w:val="0"/>
        <w:sz w:val="30"/>
      </w:rPr>
    </w:lvl>
    <w:lvl w:ilvl="2" w:tentative="0">
      <w:start w:val="1"/>
      <w:numFmt w:val="decimal"/>
      <w:suff w:val="nothing"/>
      <w:lvlText w:val="%3.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8"/>
      </w:rPr>
    </w:lvl>
    <w:lvl w:ilvl="3" w:tentative="0">
      <w:start w:val="1"/>
      <w:numFmt w:val="decimal"/>
      <w:suff w:val="nothing"/>
      <w:lvlText w:val="%3.%4 "/>
      <w:lvlJc w:val="left"/>
      <w:pPr>
        <w:ind w:left="0" w:firstLine="0"/>
      </w:pPr>
      <w:rPr>
        <w:rFonts w:hint="default" w:ascii="Times New Roman" w:hAnsi="Times New Roman" w:eastAsia="宋体"/>
        <w:b w:val="0"/>
        <w:i w:val="0"/>
        <w:sz w:val="24"/>
      </w:rPr>
    </w:lvl>
    <w:lvl w:ilvl="4" w:tentative="0">
      <w:start w:val="1"/>
      <w:numFmt w:val="decimal"/>
      <w:suff w:val="nothing"/>
      <w:lvlText w:val="%3.%4.%5 "/>
      <w:lvlJc w:val="left"/>
      <w:pPr>
        <w:ind w:left="0" w:firstLine="0"/>
      </w:pPr>
      <w:rPr>
        <w:rFonts w:hint="default" w:ascii="Times New Roman" w:hAnsi="Times New Roman" w:eastAsia="宋体"/>
        <w:b w:val="0"/>
        <w:i w:val="0"/>
        <w:sz w:val="24"/>
      </w:rPr>
    </w:lvl>
    <w:lvl w:ilvl="5" w:tentative="0">
      <w:start w:val="1"/>
      <w:numFmt w:val="decimal"/>
      <w:suff w:val="nothing"/>
      <w:lvlText w:val="%3.%4.%5.%6 "/>
      <w:lvlJc w:val="left"/>
      <w:pPr>
        <w:ind w:left="0" w:firstLine="0"/>
      </w:pPr>
      <w:rPr>
        <w:rFonts w:hint="default" w:ascii="Times New Roman" w:hAnsi="Times New Roman" w:eastAsia="宋体"/>
        <w:b w:val="0"/>
        <w:i w:val="0"/>
        <w:sz w:val="24"/>
      </w:rPr>
    </w:lvl>
    <w:lvl w:ilvl="6" w:tentative="0">
      <w:start w:val="1"/>
      <w:numFmt w:val="decimal"/>
      <w:suff w:val="nothing"/>
      <w:lvlText w:val="%3.%4.%5.%6.%7 "/>
      <w:lvlJc w:val="left"/>
      <w:pPr>
        <w:ind w:left="0" w:firstLine="0"/>
      </w:pPr>
      <w:rPr>
        <w:rFonts w:hint="default" w:ascii="Times New Roman" w:hAnsi="Times New Roman" w:eastAsia="宋体"/>
        <w:b w:val="0"/>
        <w:i w:val="0"/>
        <w:sz w:val="24"/>
      </w:rPr>
    </w:lvl>
    <w:lvl w:ilvl="7" w:tentative="0">
      <w:start w:val="1"/>
      <w:numFmt w:val="decimal"/>
      <w:suff w:val="nothing"/>
      <w:lvlText w:val="%3.%4.%5.%6.%7.%8 "/>
      <w:lvlJc w:val="left"/>
      <w:pPr>
        <w:ind w:left="0" w:firstLine="0"/>
      </w:pPr>
      <w:rPr>
        <w:rFonts w:hint="default" w:ascii="Times New Roman" w:hAnsi="Times New Roman" w:eastAsia="宋体"/>
        <w:b w:val="0"/>
        <w:i w:val="0"/>
        <w:sz w:val="24"/>
      </w:rPr>
    </w:lvl>
    <w:lvl w:ilvl="8" w:tentative="0">
      <w:start w:val="1"/>
      <w:numFmt w:val="decimal"/>
      <w:suff w:val="nothing"/>
      <w:lvlText w:val="%3.%4.%5.%6.%7.%8.%9 "/>
      <w:lvlJc w:val="left"/>
      <w:pPr>
        <w:ind w:left="0" w:firstLine="0"/>
      </w:pPr>
      <w:rPr>
        <w:rFonts w:hint="default" w:ascii="Times New Roman" w:hAnsi="Times New Roman" w:eastAsia="宋体"/>
        <w:b w:val="0"/>
        <w:i w:val="0"/>
        <w:sz w:val="21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I0NWJjYmQ3MzJkMWE3NzhjNjhiYzgyOTAyMTg0ODEifQ=="/>
  </w:docVars>
  <w:rsids>
    <w:rsidRoot w:val="003632B3"/>
    <w:rsid w:val="000067DE"/>
    <w:rsid w:val="00014AAC"/>
    <w:rsid w:val="00020664"/>
    <w:rsid w:val="000319E3"/>
    <w:rsid w:val="00031AAB"/>
    <w:rsid w:val="000363CD"/>
    <w:rsid w:val="0004147F"/>
    <w:rsid w:val="00046A02"/>
    <w:rsid w:val="00051F4A"/>
    <w:rsid w:val="000D2534"/>
    <w:rsid w:val="000D45FB"/>
    <w:rsid w:val="00107F73"/>
    <w:rsid w:val="00133132"/>
    <w:rsid w:val="0014059A"/>
    <w:rsid w:val="00161C62"/>
    <w:rsid w:val="00164F7E"/>
    <w:rsid w:val="00167D49"/>
    <w:rsid w:val="00185CD5"/>
    <w:rsid w:val="001D6D12"/>
    <w:rsid w:val="001F1786"/>
    <w:rsid w:val="001F6620"/>
    <w:rsid w:val="00224367"/>
    <w:rsid w:val="0026066A"/>
    <w:rsid w:val="0028143B"/>
    <w:rsid w:val="002932B3"/>
    <w:rsid w:val="002B219B"/>
    <w:rsid w:val="002C4E4E"/>
    <w:rsid w:val="002C551D"/>
    <w:rsid w:val="002D1CB4"/>
    <w:rsid w:val="002D45A4"/>
    <w:rsid w:val="002F1A14"/>
    <w:rsid w:val="00306B0A"/>
    <w:rsid w:val="00312ABE"/>
    <w:rsid w:val="00336C56"/>
    <w:rsid w:val="0035656B"/>
    <w:rsid w:val="003632B3"/>
    <w:rsid w:val="003753CC"/>
    <w:rsid w:val="003A0D30"/>
    <w:rsid w:val="003A2A6D"/>
    <w:rsid w:val="003C0571"/>
    <w:rsid w:val="003C2DE7"/>
    <w:rsid w:val="003D7CCC"/>
    <w:rsid w:val="00404FB8"/>
    <w:rsid w:val="0043390D"/>
    <w:rsid w:val="004435F8"/>
    <w:rsid w:val="004442E1"/>
    <w:rsid w:val="00455990"/>
    <w:rsid w:val="00456260"/>
    <w:rsid w:val="00470506"/>
    <w:rsid w:val="00471893"/>
    <w:rsid w:val="00474387"/>
    <w:rsid w:val="00486EF5"/>
    <w:rsid w:val="00497B39"/>
    <w:rsid w:val="004A3C52"/>
    <w:rsid w:val="004A68A2"/>
    <w:rsid w:val="004B120B"/>
    <w:rsid w:val="004C69E0"/>
    <w:rsid w:val="004E67A6"/>
    <w:rsid w:val="004F6FF2"/>
    <w:rsid w:val="00514A65"/>
    <w:rsid w:val="00514E4F"/>
    <w:rsid w:val="0052337B"/>
    <w:rsid w:val="00523BB3"/>
    <w:rsid w:val="00543311"/>
    <w:rsid w:val="005504AB"/>
    <w:rsid w:val="00551189"/>
    <w:rsid w:val="00554BC5"/>
    <w:rsid w:val="00554F3E"/>
    <w:rsid w:val="005D2F3D"/>
    <w:rsid w:val="005E3717"/>
    <w:rsid w:val="006072A3"/>
    <w:rsid w:val="00637B4A"/>
    <w:rsid w:val="00641C0F"/>
    <w:rsid w:val="0068192A"/>
    <w:rsid w:val="006A059A"/>
    <w:rsid w:val="006A61FC"/>
    <w:rsid w:val="006C69EC"/>
    <w:rsid w:val="006D2AA0"/>
    <w:rsid w:val="006F36A7"/>
    <w:rsid w:val="00723937"/>
    <w:rsid w:val="00736A13"/>
    <w:rsid w:val="007525D9"/>
    <w:rsid w:val="00752C7E"/>
    <w:rsid w:val="007704BB"/>
    <w:rsid w:val="0077151F"/>
    <w:rsid w:val="00776F00"/>
    <w:rsid w:val="007A615A"/>
    <w:rsid w:val="007B231B"/>
    <w:rsid w:val="007E5952"/>
    <w:rsid w:val="00816ADC"/>
    <w:rsid w:val="00820430"/>
    <w:rsid w:val="008335FC"/>
    <w:rsid w:val="00840201"/>
    <w:rsid w:val="008508DF"/>
    <w:rsid w:val="008571B7"/>
    <w:rsid w:val="00857227"/>
    <w:rsid w:val="008657D5"/>
    <w:rsid w:val="00870631"/>
    <w:rsid w:val="008816BA"/>
    <w:rsid w:val="008B0839"/>
    <w:rsid w:val="008B5BF7"/>
    <w:rsid w:val="008C49C5"/>
    <w:rsid w:val="008D5430"/>
    <w:rsid w:val="008D7574"/>
    <w:rsid w:val="009142A7"/>
    <w:rsid w:val="00914AF4"/>
    <w:rsid w:val="0092160A"/>
    <w:rsid w:val="0093672D"/>
    <w:rsid w:val="00954E71"/>
    <w:rsid w:val="00977D1F"/>
    <w:rsid w:val="00980BEC"/>
    <w:rsid w:val="009A06A6"/>
    <w:rsid w:val="009A1B5E"/>
    <w:rsid w:val="009A5EE2"/>
    <w:rsid w:val="009B1426"/>
    <w:rsid w:val="00A145F7"/>
    <w:rsid w:val="00A27212"/>
    <w:rsid w:val="00A564FB"/>
    <w:rsid w:val="00A8454E"/>
    <w:rsid w:val="00A97918"/>
    <w:rsid w:val="00B06539"/>
    <w:rsid w:val="00B12941"/>
    <w:rsid w:val="00B14395"/>
    <w:rsid w:val="00B31E41"/>
    <w:rsid w:val="00B5035A"/>
    <w:rsid w:val="00B51AAF"/>
    <w:rsid w:val="00B5248D"/>
    <w:rsid w:val="00B54AA4"/>
    <w:rsid w:val="00B71CDF"/>
    <w:rsid w:val="00B76BF6"/>
    <w:rsid w:val="00B96970"/>
    <w:rsid w:val="00B972D0"/>
    <w:rsid w:val="00BB1A60"/>
    <w:rsid w:val="00BF6073"/>
    <w:rsid w:val="00C340C6"/>
    <w:rsid w:val="00C4454C"/>
    <w:rsid w:val="00C65E08"/>
    <w:rsid w:val="00C7150D"/>
    <w:rsid w:val="00CE7902"/>
    <w:rsid w:val="00D108FB"/>
    <w:rsid w:val="00D15EC7"/>
    <w:rsid w:val="00D2220E"/>
    <w:rsid w:val="00D47796"/>
    <w:rsid w:val="00D566CF"/>
    <w:rsid w:val="00D72ABF"/>
    <w:rsid w:val="00D77759"/>
    <w:rsid w:val="00D813D5"/>
    <w:rsid w:val="00D82213"/>
    <w:rsid w:val="00DA21FF"/>
    <w:rsid w:val="00DA3580"/>
    <w:rsid w:val="00DD2937"/>
    <w:rsid w:val="00DD725C"/>
    <w:rsid w:val="00DD7B09"/>
    <w:rsid w:val="00DE129B"/>
    <w:rsid w:val="00DF1611"/>
    <w:rsid w:val="00E5215A"/>
    <w:rsid w:val="00E72A7F"/>
    <w:rsid w:val="00E73092"/>
    <w:rsid w:val="00E83989"/>
    <w:rsid w:val="00ED090C"/>
    <w:rsid w:val="00ED72F0"/>
    <w:rsid w:val="00EE69F5"/>
    <w:rsid w:val="00F15902"/>
    <w:rsid w:val="00F170DF"/>
    <w:rsid w:val="00F511B3"/>
    <w:rsid w:val="00F66A05"/>
    <w:rsid w:val="00FA35A5"/>
    <w:rsid w:val="00FE1489"/>
    <w:rsid w:val="012C51ED"/>
    <w:rsid w:val="01BA21AC"/>
    <w:rsid w:val="0476003A"/>
    <w:rsid w:val="05F35971"/>
    <w:rsid w:val="063C7014"/>
    <w:rsid w:val="07786739"/>
    <w:rsid w:val="0BD7629F"/>
    <w:rsid w:val="0DAF0639"/>
    <w:rsid w:val="0E5B01CE"/>
    <w:rsid w:val="0F156163"/>
    <w:rsid w:val="106D596A"/>
    <w:rsid w:val="17B5560D"/>
    <w:rsid w:val="18274F6B"/>
    <w:rsid w:val="18300B23"/>
    <w:rsid w:val="18380F01"/>
    <w:rsid w:val="1A6509A1"/>
    <w:rsid w:val="1B860FF5"/>
    <w:rsid w:val="1BBE6445"/>
    <w:rsid w:val="1F07258D"/>
    <w:rsid w:val="25B85CB3"/>
    <w:rsid w:val="25EE5B79"/>
    <w:rsid w:val="26FC0B3E"/>
    <w:rsid w:val="27325A8B"/>
    <w:rsid w:val="2C5F50DB"/>
    <w:rsid w:val="2D480002"/>
    <w:rsid w:val="2D8670E5"/>
    <w:rsid w:val="2E1B0310"/>
    <w:rsid w:val="2E334E72"/>
    <w:rsid w:val="30B80EA9"/>
    <w:rsid w:val="320B3C87"/>
    <w:rsid w:val="33B2234C"/>
    <w:rsid w:val="343A594C"/>
    <w:rsid w:val="360D4167"/>
    <w:rsid w:val="3765555F"/>
    <w:rsid w:val="39D9309B"/>
    <w:rsid w:val="3DB76250"/>
    <w:rsid w:val="3DEF2B4B"/>
    <w:rsid w:val="3E021D6A"/>
    <w:rsid w:val="3E5524B2"/>
    <w:rsid w:val="3E5C5085"/>
    <w:rsid w:val="3E7F64C7"/>
    <w:rsid w:val="3EF44251"/>
    <w:rsid w:val="3F544113"/>
    <w:rsid w:val="3FBD419A"/>
    <w:rsid w:val="41DF1C2A"/>
    <w:rsid w:val="42621029"/>
    <w:rsid w:val="42A57E7A"/>
    <w:rsid w:val="436776C7"/>
    <w:rsid w:val="44D53D34"/>
    <w:rsid w:val="46810FAD"/>
    <w:rsid w:val="47726647"/>
    <w:rsid w:val="48CB3199"/>
    <w:rsid w:val="4B4137EB"/>
    <w:rsid w:val="4B571947"/>
    <w:rsid w:val="4CDB51A6"/>
    <w:rsid w:val="4EF37AB3"/>
    <w:rsid w:val="4FBA06F6"/>
    <w:rsid w:val="500243D3"/>
    <w:rsid w:val="508F6C40"/>
    <w:rsid w:val="514E10F6"/>
    <w:rsid w:val="53EF0A74"/>
    <w:rsid w:val="54216F96"/>
    <w:rsid w:val="5B8147BE"/>
    <w:rsid w:val="5F4E1524"/>
    <w:rsid w:val="607D5554"/>
    <w:rsid w:val="6083027C"/>
    <w:rsid w:val="61172D0B"/>
    <w:rsid w:val="617C57A2"/>
    <w:rsid w:val="673E238A"/>
    <w:rsid w:val="68DA65B6"/>
    <w:rsid w:val="6F1637FB"/>
    <w:rsid w:val="75EB48B6"/>
    <w:rsid w:val="765B5EE0"/>
    <w:rsid w:val="78D41F3C"/>
    <w:rsid w:val="79073AC3"/>
    <w:rsid w:val="79BE0658"/>
    <w:rsid w:val="7A66557C"/>
    <w:rsid w:val="7C3760E1"/>
    <w:rsid w:val="7EC13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Lines/>
      <w:spacing w:line="480" w:lineRule="exact"/>
      <w:jc w:val="center"/>
      <w:outlineLvl w:val="0"/>
    </w:pPr>
    <w:rPr>
      <w:b/>
      <w:bCs/>
      <w:kern w:val="44"/>
      <w:sz w:val="36"/>
      <w:szCs w:val="44"/>
      <w:lang w:val="zh-CN" w:eastAsia="zh-CN"/>
    </w:rPr>
  </w:style>
  <w:style w:type="paragraph" w:styleId="3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line="360" w:lineRule="auto"/>
      <w:outlineLvl w:val="1"/>
    </w:pPr>
    <w:rPr>
      <w:rFonts w:eastAsia="黑体"/>
      <w:bCs/>
      <w:sz w:val="30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link w:val="14"/>
    <w:qFormat/>
    <w:uiPriority w:val="0"/>
    <w:pPr>
      <w:ind w:firstLine="420"/>
    </w:pPr>
    <w:rPr>
      <w:rFonts w:ascii="Calibri" w:hAnsi="Calibri"/>
      <w:szCs w:val="22"/>
    </w:rPr>
  </w:style>
  <w:style w:type="paragraph" w:styleId="5">
    <w:name w:val="Plain Text"/>
    <w:basedOn w:val="1"/>
    <w:link w:val="16"/>
    <w:qFormat/>
    <w:uiPriority w:val="0"/>
    <w:rPr>
      <w:rFonts w:ascii="宋体" w:hAnsi="Courier New"/>
      <w:szCs w:val="21"/>
      <w:lang w:val="zh-CN" w:eastAsia="zh-CN"/>
    </w:rPr>
  </w:style>
  <w:style w:type="paragraph" w:styleId="6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  <w:lang w:val="zh-CN" w:eastAsia="zh-CN"/>
    </w:rPr>
  </w:style>
  <w:style w:type="paragraph" w:styleId="7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  <w:lang w:val="zh-CN" w:eastAsia="zh-CN"/>
    </w:rPr>
  </w:style>
  <w:style w:type="paragraph" w:styleId="8">
    <w:name w:val="Normal (Web)"/>
    <w:basedOn w:val="1"/>
    <w:link w:val="19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lang w:val="zh-CN" w:eastAsia="zh-CN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tytytyty Char"/>
    <w:link w:val="13"/>
    <w:qFormat/>
    <w:uiPriority w:val="0"/>
    <w:rPr>
      <w:rFonts w:ascii="Times New Roman" w:hAnsi="Times New Roman" w:eastAsia="宋体" w:cs="Times New Roman"/>
      <w:sz w:val="24"/>
      <w:szCs w:val="24"/>
    </w:rPr>
  </w:style>
  <w:style w:type="paragraph" w:customStyle="1" w:styleId="13">
    <w:name w:val="tytytyty"/>
    <w:basedOn w:val="1"/>
    <w:link w:val="12"/>
    <w:qFormat/>
    <w:uiPriority w:val="0"/>
    <w:pPr>
      <w:spacing w:line="360" w:lineRule="auto"/>
      <w:ind w:left="359" w:leftChars="171" w:firstLine="480" w:firstLineChars="200"/>
    </w:pPr>
    <w:rPr>
      <w:kern w:val="0"/>
      <w:sz w:val="24"/>
      <w:lang w:val="zh-CN" w:eastAsia="zh-CN"/>
    </w:rPr>
  </w:style>
  <w:style w:type="character" w:customStyle="1" w:styleId="14">
    <w:name w:val="正文缩进 字符"/>
    <w:link w:val="4"/>
    <w:qFormat/>
    <w:uiPriority w:val="0"/>
  </w:style>
  <w:style w:type="character" w:customStyle="1" w:styleId="15">
    <w:name w:val="标题 1 字符"/>
    <w:link w:val="2"/>
    <w:qFormat/>
    <w:uiPriority w:val="9"/>
    <w:rPr>
      <w:rFonts w:ascii="Times New Roman" w:hAnsi="Times New Roman" w:eastAsia="宋体" w:cs="Times New Roman"/>
      <w:b/>
      <w:bCs/>
      <w:kern w:val="44"/>
      <w:sz w:val="36"/>
      <w:szCs w:val="44"/>
    </w:rPr>
  </w:style>
  <w:style w:type="character" w:customStyle="1" w:styleId="16">
    <w:name w:val="纯文本 字符"/>
    <w:link w:val="5"/>
    <w:qFormat/>
    <w:uiPriority w:val="0"/>
    <w:rPr>
      <w:rFonts w:ascii="宋体" w:hAnsi="Courier New"/>
      <w:kern w:val="2"/>
      <w:sz w:val="21"/>
      <w:szCs w:val="21"/>
    </w:rPr>
  </w:style>
  <w:style w:type="character" w:customStyle="1" w:styleId="17">
    <w:name w:val="纯文本 Char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18">
    <w:name w:val="页脚 字符"/>
    <w:link w:val="6"/>
    <w:qFormat/>
    <w:uiPriority w:val="99"/>
    <w:rPr>
      <w:sz w:val="18"/>
      <w:szCs w:val="18"/>
    </w:rPr>
  </w:style>
  <w:style w:type="character" w:customStyle="1" w:styleId="19">
    <w:name w:val="普通(网站) 字符"/>
    <w:link w:val="8"/>
    <w:qFormat/>
    <w:uiPriority w:val="0"/>
    <w:rPr>
      <w:rFonts w:ascii="宋体" w:hAnsi="宋体" w:eastAsia="宋体" w:cs="宋体"/>
      <w:sz w:val="24"/>
      <w:szCs w:val="24"/>
    </w:rPr>
  </w:style>
  <w:style w:type="character" w:customStyle="1" w:styleId="20">
    <w:name w:val="页眉 字符"/>
    <w:link w:val="7"/>
    <w:qFormat/>
    <w:uiPriority w:val="99"/>
    <w:rPr>
      <w:sz w:val="18"/>
      <w:szCs w:val="18"/>
    </w:rPr>
  </w:style>
  <w:style w:type="paragraph" w:customStyle="1" w:styleId="21">
    <w:name w:val="目录 11"/>
    <w:basedOn w:val="1"/>
    <w:next w:val="1"/>
    <w:unhideWhenUsed/>
    <w:qFormat/>
    <w:uiPriority w:val="39"/>
    <w:pPr>
      <w:widowControl/>
      <w:spacing w:line="440" w:lineRule="exact"/>
      <w:jc w:val="left"/>
    </w:pPr>
    <w:rPr>
      <w:rFonts w:eastAsia="黑体"/>
      <w:b/>
      <w:kern w:val="0"/>
      <w:sz w:val="28"/>
    </w:rPr>
  </w:style>
  <w:style w:type="paragraph" w:customStyle="1" w:styleId="22">
    <w:name w:val="列出段落1"/>
    <w:basedOn w:val="1"/>
    <w:qFormat/>
    <w:uiPriority w:val="34"/>
    <w:pPr>
      <w:ind w:firstLine="420" w:firstLineChars="200"/>
    </w:pPr>
  </w:style>
  <w:style w:type="paragraph" w:customStyle="1" w:styleId="23">
    <w:name w:val="中等深浅网格 21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4">
    <w:name w:val="_Style 1"/>
    <w:basedOn w:val="1"/>
    <w:qFormat/>
    <w:uiPriority w:val="34"/>
    <w:pPr>
      <w:ind w:firstLine="420" w:firstLineChars="200"/>
    </w:pPr>
  </w:style>
  <w:style w:type="paragraph" w:customStyle="1" w:styleId="25">
    <w:name w:val="Char Char Char Char Char Char Char Char Char Char Char Char Char Char Char Char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26">
    <w:name w:val="段"/>
    <w:qFormat/>
    <w:uiPriority w:val="0"/>
    <w:pPr>
      <w:autoSpaceDE w:val="0"/>
      <w:autoSpaceDN w:val="0"/>
      <w:ind w:firstLine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28">
    <w:name w:val="彩色列表 - 着色 1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table" w:customStyle="1" w:styleId="29">
    <w:name w:val="网格型浅色1"/>
    <w:basedOn w:val="9"/>
    <w:qFormat/>
    <w:uiPriority w:val="40"/>
    <w:tblPr>
      <w:tblBorders>
        <w:top w:val="single" w:color="BEBEBE" w:sz="4" w:space="0"/>
        <w:left w:val="single" w:color="BEBEBE" w:sz="4" w:space="0"/>
        <w:bottom w:val="single" w:color="BEBEBE" w:sz="4" w:space="0"/>
        <w:right w:val="single" w:color="BEBEBE" w:sz="4" w:space="0"/>
        <w:insideH w:val="single" w:color="BEBEBE" w:sz="4" w:space="0"/>
        <w:insideV w:val="single" w:color="BEBEBE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5101</Words>
  <Characters>5878</Characters>
  <Lines>32</Lines>
  <Paragraphs>9</Paragraphs>
  <TotalTime>147</TotalTime>
  <ScaleCrop>false</ScaleCrop>
  <LinksUpToDate>false</LinksUpToDate>
  <CharactersWithSpaces>5946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2020-10-21T09:18:00Z</dcterms:created>
  <dc:creator>superman</dc:creator>
  <cp:lastModifiedBy>WPS_1652026464</cp:lastModifiedBy>
  <cp:lastPrinted>2018-12-03T03:50:00Z</cp:lastPrinted>
  <dcterms:modified xsi:type="dcterms:W3CDTF">2025-11-10T11:01:42Z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4BF3C58B28514778964318833C688DB1_13</vt:lpwstr>
  </property>
  <property fmtid="{D5CDD505-2E9C-101B-9397-08002B2CF9AE}" pid="4" name="KSOTemplateDocerSaveRecord">
    <vt:lpwstr>eyJoZGlkIjoiMDU0OGZlMTMxZjI4ODc0MWY2MDZkZTc4ODM4MzhlNGEiLCJ1c2VySWQiOiIxMzY3ODQyMTA5In0=</vt:lpwstr>
  </property>
</Properties>
</file>